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3B11" w14:textId="605AD4AB" w:rsidR="008635B3" w:rsidRPr="00C80EA9" w:rsidRDefault="008635B3" w:rsidP="008635B3">
      <w:pPr>
        <w:rPr>
          <w:sz w:val="28"/>
          <w:szCs w:val="28"/>
        </w:rPr>
      </w:pPr>
      <w:r w:rsidRPr="00C80EA9">
        <w:rPr>
          <w:color w:val="7030A0"/>
          <w:sz w:val="28"/>
          <w:szCs w:val="28"/>
        </w:rPr>
        <w:t>МЕТОДИКА</w:t>
      </w:r>
      <w:r w:rsidRPr="00C80EA9">
        <w:rPr>
          <w:sz w:val="28"/>
          <w:szCs w:val="28"/>
        </w:rPr>
        <w:t xml:space="preserve"> </w:t>
      </w:r>
      <w:r w:rsidRPr="00C80EA9">
        <w:rPr>
          <w:color w:val="C00000"/>
          <w:sz w:val="28"/>
          <w:szCs w:val="28"/>
        </w:rPr>
        <w:t>|</w:t>
      </w:r>
      <w:r w:rsidRPr="00C80EA9">
        <w:rPr>
          <w:sz w:val="28"/>
          <w:szCs w:val="28"/>
        </w:rPr>
        <w:t xml:space="preserve"> </w:t>
      </w:r>
      <w:bookmarkStart w:id="0" w:name="_Hlk36026862"/>
      <w:r w:rsidRPr="00C80EA9">
        <w:rPr>
          <w:color w:val="7030A0"/>
          <w:sz w:val="28"/>
          <w:szCs w:val="28"/>
        </w:rPr>
        <w:t xml:space="preserve">РЕЙТИНГ </w:t>
      </w:r>
      <w:r>
        <w:rPr>
          <w:color w:val="7030A0"/>
          <w:sz w:val="28"/>
          <w:szCs w:val="28"/>
        </w:rPr>
        <w:t xml:space="preserve">ДЕЛОВОГО ПОТЕНЦИАЛА </w:t>
      </w:r>
      <w:r w:rsidRPr="00C80EA9">
        <w:rPr>
          <w:color w:val="7030A0"/>
          <w:sz w:val="28"/>
          <w:szCs w:val="28"/>
        </w:rPr>
        <w:t xml:space="preserve">АУДИТОРСКИХ </w:t>
      </w:r>
      <w:bookmarkEnd w:id="0"/>
      <w:r w:rsidR="007C0696" w:rsidRPr="007C0696">
        <w:rPr>
          <w:color w:val="7030A0"/>
          <w:sz w:val="28"/>
          <w:szCs w:val="28"/>
        </w:rPr>
        <w:t>ОРГАНИЗАЦИЙ</w:t>
      </w:r>
    </w:p>
    <w:p w14:paraId="1A35E73A" w14:textId="77777777" w:rsidR="008635B3" w:rsidRPr="00264AA2" w:rsidRDefault="008635B3" w:rsidP="008635B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264AA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ОБЩИЕ ПОЛОЖЕНИЯ</w:t>
      </w:r>
    </w:p>
    <w:p w14:paraId="20F44CDA" w14:textId="77777777" w:rsidR="008635B3" w:rsidRPr="007560E3" w:rsidRDefault="008635B3" w:rsidP="008635B3">
      <w:pPr>
        <w:jc w:val="both"/>
      </w:pPr>
      <w:r w:rsidRPr="007560E3">
        <w:t>В рамках «Р</w:t>
      </w:r>
      <w:r>
        <w:t>ейтинга делового потенциала аудиторских организаций</w:t>
      </w:r>
      <w:r w:rsidRPr="007560E3">
        <w:t>», проводимого Рейтинговым агентством «Эксперт РА» (оператор компания «Эксперт-Бизнес Решения»), для аудиторских организаций, а также для аудиторских групп и сетей составляются рейтинги:</w:t>
      </w:r>
    </w:p>
    <w:p w14:paraId="57350430" w14:textId="6E8E42BC" w:rsidR="008635B3" w:rsidRPr="007560E3" w:rsidRDefault="00766DA9" w:rsidP="008635B3">
      <w:pPr>
        <w:pStyle w:val="a3"/>
        <w:numPr>
          <w:ilvl w:val="0"/>
          <w:numId w:val="1"/>
        </w:numPr>
      </w:pPr>
      <w:bookmarkStart w:id="1" w:name="_Hlk34213460"/>
      <w:r>
        <w:t>Д</w:t>
      </w:r>
      <w:r w:rsidR="008635B3" w:rsidRPr="007560E3">
        <w:t>елового потенциала аудиторских организаций</w:t>
      </w:r>
      <w:bookmarkEnd w:id="1"/>
      <w:r w:rsidR="008635B3">
        <w:t xml:space="preserve"> за </w:t>
      </w:r>
      <w:r w:rsidR="00A54777">
        <w:t>2020</w:t>
      </w:r>
      <w:r w:rsidR="008635B3">
        <w:t xml:space="preserve"> г</w:t>
      </w:r>
      <w:r w:rsidR="008635B3" w:rsidRPr="007560E3">
        <w:t>;</w:t>
      </w:r>
    </w:p>
    <w:p w14:paraId="27EE79BC" w14:textId="2151D679" w:rsidR="008635B3" w:rsidRPr="007560E3" w:rsidRDefault="00766DA9" w:rsidP="008635B3">
      <w:pPr>
        <w:pStyle w:val="a3"/>
        <w:numPr>
          <w:ilvl w:val="0"/>
          <w:numId w:val="1"/>
        </w:numPr>
      </w:pPr>
      <w:bookmarkStart w:id="2" w:name="_Hlk34213702"/>
      <w:r>
        <w:t>Д</w:t>
      </w:r>
      <w:r w:rsidR="008635B3" w:rsidRPr="007560E3">
        <w:t>елового потенциала аудиторских групп и сетей</w:t>
      </w:r>
      <w:bookmarkEnd w:id="2"/>
      <w:r w:rsidR="008635B3">
        <w:t xml:space="preserve"> за </w:t>
      </w:r>
      <w:r w:rsidR="00A54777">
        <w:t>2020</w:t>
      </w:r>
      <w:r w:rsidR="008635B3">
        <w:t xml:space="preserve"> г</w:t>
      </w:r>
      <w:r w:rsidR="00A54777">
        <w:t>.</w:t>
      </w:r>
    </w:p>
    <w:p w14:paraId="02C0E20A" w14:textId="77777777" w:rsidR="008635B3" w:rsidRDefault="008635B3" w:rsidP="008635B3">
      <w:pPr>
        <w:jc w:val="both"/>
      </w:pPr>
      <w:r>
        <w:t xml:space="preserve">Дополнительно будут составлены рэнкинги по следующим направлениям: </w:t>
      </w:r>
    </w:p>
    <w:p w14:paraId="3CAC4AB6" w14:textId="4E656689" w:rsidR="008635B3" w:rsidRDefault="00C9283C" w:rsidP="008635B3">
      <w:pPr>
        <w:pStyle w:val="a3"/>
        <w:numPr>
          <w:ilvl w:val="0"/>
          <w:numId w:val="7"/>
        </w:numPr>
      </w:pPr>
      <w:r>
        <w:t>К</w:t>
      </w:r>
      <w:r w:rsidR="008635B3">
        <w:t>онсалтинг</w:t>
      </w:r>
      <w:r>
        <w:t>овых организаций</w:t>
      </w:r>
      <w:r w:rsidR="008635B3">
        <w:t xml:space="preserve">; </w:t>
      </w:r>
    </w:p>
    <w:p w14:paraId="38BB00FC" w14:textId="231B66D8" w:rsidR="008635B3" w:rsidRDefault="008635B3" w:rsidP="008635B3">
      <w:pPr>
        <w:pStyle w:val="a3"/>
        <w:numPr>
          <w:ilvl w:val="0"/>
          <w:numId w:val="7"/>
        </w:numPr>
      </w:pPr>
      <w:r>
        <w:t>Аутсорсинг</w:t>
      </w:r>
      <w:r w:rsidR="00C9283C">
        <w:t>а</w:t>
      </w:r>
      <w:r>
        <w:t xml:space="preserve"> учетных функций. </w:t>
      </w:r>
    </w:p>
    <w:p w14:paraId="79219E5B" w14:textId="7B13CD80" w:rsidR="008635B3" w:rsidRDefault="008635B3" w:rsidP="008635B3">
      <w:pPr>
        <w:jc w:val="both"/>
      </w:pPr>
      <w:r>
        <w:t>Подготовка рейтингов и рэнкингов основана на сведениях, предоставленных участниками путем заполнения анкет. (Подробнее о заполнении анкет смотрите файл 202</w:t>
      </w:r>
      <w:r w:rsidR="00A54777">
        <w:t>1</w:t>
      </w:r>
      <w:r>
        <w:t>_</w:t>
      </w:r>
      <w:r>
        <w:rPr>
          <w:lang w:val="en-US"/>
        </w:rPr>
        <w:t>instruct</w:t>
      </w:r>
      <w:r w:rsidRPr="00B93A84">
        <w:t>_</w:t>
      </w:r>
      <w:proofErr w:type="spellStart"/>
      <w:r>
        <w:rPr>
          <w:lang w:val="en-US"/>
        </w:rPr>
        <w:t>aud</w:t>
      </w:r>
      <w:proofErr w:type="spellEnd"/>
      <w:r w:rsidRPr="00B93A84">
        <w:t>)</w:t>
      </w:r>
      <w:r w:rsidRPr="00C063CA">
        <w:t>.</w:t>
      </w:r>
      <w:r>
        <w:t xml:space="preserve"> Сверка предоставленных данных проводится организатором с использованием официальных статистических форм и источников проверки информации о контрагентах.</w:t>
      </w:r>
    </w:p>
    <w:p w14:paraId="19C50EF5" w14:textId="77777777" w:rsidR="008635B3" w:rsidRDefault="008635B3" w:rsidP="008635B3">
      <w:pPr>
        <w:jc w:val="both"/>
      </w:pPr>
      <w:r w:rsidRPr="00CE5011">
        <w:t xml:space="preserve">Участники вправе выбрать рейтинги, рэнкинги и </w:t>
      </w:r>
      <w:proofErr w:type="spellStart"/>
      <w:r w:rsidRPr="00CE5011">
        <w:t>субрэнкинги</w:t>
      </w:r>
      <w:proofErr w:type="spellEnd"/>
      <w:r w:rsidRPr="00CE5011">
        <w:t>, в которых они желают принять участие.</w:t>
      </w:r>
    </w:p>
    <w:p w14:paraId="37DB9742" w14:textId="77777777" w:rsidR="008635B3" w:rsidRDefault="008635B3" w:rsidP="008635B3">
      <w:pPr>
        <w:jc w:val="both"/>
      </w:pPr>
      <w:r>
        <w:t xml:space="preserve">Если участник не сообщает организатору свой выбор, то он автоматически включается во все рейтинги и рэнкинги в соответствии с заверенными анкетными данными. </w:t>
      </w:r>
    </w:p>
    <w:p w14:paraId="7E469909" w14:textId="77777777" w:rsidR="008635B3" w:rsidRPr="00F70377" w:rsidRDefault="008635B3" w:rsidP="008635B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F70377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ОСНОВНЫЕ ОПРЕДЕЛЕНИЯ МЕТОДИКИ </w:t>
      </w:r>
    </w:p>
    <w:p w14:paraId="7569FB35" w14:textId="77777777" w:rsidR="008635B3" w:rsidRDefault="008635B3" w:rsidP="008635B3">
      <w:pPr>
        <w:jc w:val="both"/>
      </w:pPr>
      <w:r w:rsidRPr="00264AA2">
        <w:rPr>
          <w:b/>
          <w:bCs/>
        </w:rPr>
        <w:t>Аудиторская организация</w:t>
      </w:r>
      <w:r>
        <w:t xml:space="preserve"> – коммерческая организация, осуществляющая аудиторскую деятельность и являющаяся членом саморегулируемой организации аудиторов (СРО).  </w:t>
      </w:r>
    </w:p>
    <w:p w14:paraId="7DD713B7" w14:textId="77777777" w:rsidR="008635B3" w:rsidRDefault="008635B3" w:rsidP="008635B3">
      <w:pPr>
        <w:jc w:val="both"/>
      </w:pPr>
      <w:r w:rsidRPr="00264AA2">
        <w:rPr>
          <w:b/>
          <w:bCs/>
        </w:rPr>
        <w:t>Аудитор</w:t>
      </w:r>
      <w:r>
        <w:t xml:space="preserve"> – физическое лицо, получившее квалификационный аттестат аудитора и являющееся членом СРО аудиторов.  </w:t>
      </w:r>
    </w:p>
    <w:p w14:paraId="3F1C503D" w14:textId="77777777" w:rsidR="008635B3" w:rsidRDefault="008635B3" w:rsidP="008635B3">
      <w:pPr>
        <w:jc w:val="both"/>
      </w:pPr>
      <w:r w:rsidRPr="00264AA2">
        <w:rPr>
          <w:b/>
          <w:bCs/>
        </w:rPr>
        <w:t>Аудиторская деятельность</w:t>
      </w:r>
      <w:r>
        <w:t xml:space="preserve"> – деятельность по проведению аудита и оказанию услуг, сопутствующих аудиту.  </w:t>
      </w:r>
    </w:p>
    <w:p w14:paraId="3C3EF845" w14:textId="77777777" w:rsidR="008635B3" w:rsidRDefault="008635B3" w:rsidP="008635B3">
      <w:pPr>
        <w:jc w:val="both"/>
      </w:pPr>
      <w:r w:rsidRPr="00264AA2">
        <w:rPr>
          <w:b/>
          <w:bCs/>
        </w:rPr>
        <w:t>Аудит</w:t>
      </w:r>
      <w:r>
        <w:t xml:space="preserve"> – независимая проверка бухгалтерской (финансовой) отчетности в целях выражения мнения о ее достоверности.  </w:t>
      </w:r>
    </w:p>
    <w:p w14:paraId="56C74D2D" w14:textId="77777777" w:rsidR="008635B3" w:rsidRDefault="008635B3" w:rsidP="008635B3">
      <w:pPr>
        <w:jc w:val="both"/>
      </w:pPr>
      <w:r w:rsidRPr="00264AA2">
        <w:rPr>
          <w:b/>
          <w:bCs/>
        </w:rPr>
        <w:t>Прочие услуги, связанные с аудиторской деятельностью</w:t>
      </w:r>
      <w:r>
        <w:t>: постановка, восстановление и ведение бухгалтерского учета, составление бухгалтерской (финансовой) отчетности, бухгалтерское консультирование; налоговое консультирование, постановка, восстановление и ведение налогового учета, составление налоговых расчетов и деклараций; анализ финансово-хозяйственной деятельности, экономическое и финансовое консультирование; управленческое консультирование, в том числе по вопросам реорганизации организаций или их приватизации; юридическая помощь в областях, связанных с аудиторской деятельностью, включая консультации по правовым вопросам, представление интересов в гражданском и административном судопроизводстве, в налоговых и таможенных правоотношениях, в органах государственной власти и органах местного самоуправления; автоматизация бухгалтерского учета и внедрение ИТ; оценочная деятельность; разработка и анализ инвестиционных проектов, составление бизнес-</w:t>
      </w:r>
      <w:r>
        <w:lastRenderedPageBreak/>
        <w:t xml:space="preserve">планов; проведение научно-исследовательских и экспериментальных работ в областях, связанных с аудиторской деятельностью, и распространение их результатов, в том числе на бумажных и электронных носителях; обучение в областях, связанных с аудиторской деятельностью. </w:t>
      </w:r>
    </w:p>
    <w:p w14:paraId="36E89695" w14:textId="77777777" w:rsidR="008635B3" w:rsidRPr="00F70377" w:rsidRDefault="008635B3" w:rsidP="008635B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F70377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УСЛОВИЯ ОТБОРА УЧАСТНИКОВ ДЛЯ ЦЕЛЕЙ МЕТОДИКИ </w:t>
      </w:r>
    </w:p>
    <w:p w14:paraId="13E5A6CD" w14:textId="77777777" w:rsidR="008635B3" w:rsidRDefault="008635B3" w:rsidP="008635B3">
      <w:pPr>
        <w:jc w:val="both"/>
      </w:pPr>
      <w:r>
        <w:t xml:space="preserve">В целях настоящей методики услугами, связанными с аудиторской деятельностью или консалтингом, </w:t>
      </w:r>
      <w:r w:rsidRPr="00264AA2">
        <w:rPr>
          <w:b/>
          <w:bCs/>
        </w:rPr>
        <w:t>не считаются исключительно исследовательские и информационные услуги, а также услуги по подбору персонала</w:t>
      </w:r>
      <w:r>
        <w:t xml:space="preserve">. Эти направления могут сопровождать услуги, которые по вышеприведенному определению связаны с аудиторской деятельностью или являются консалтинговыми. Организатор вправе не учитывать эти направления. Также </w:t>
      </w:r>
      <w:r w:rsidRPr="00264AA2">
        <w:rPr>
          <w:b/>
          <w:bCs/>
        </w:rPr>
        <w:t>услугами, связанными с аудиторской деятельностью, не являются поддержка ИТ-инфраструктуры и ИТ-проектов, продажи и поставка (стоимость) ИТ-оборудования или программного обеспечения (лицензии)</w:t>
      </w:r>
      <w:r>
        <w:t xml:space="preserve">. </w:t>
      </w:r>
    </w:p>
    <w:p w14:paraId="6C3CC3B0" w14:textId="77777777" w:rsidR="008635B3" w:rsidRDefault="008635B3" w:rsidP="008635B3">
      <w:pPr>
        <w:jc w:val="both"/>
      </w:pPr>
      <w:r>
        <w:t xml:space="preserve">В рэнкингах и рейтингах участвуют организации (или группы), зарегистрированные на территории РФ и предоставляющие обозначенные выше услуги. В зависимости от направлений участник включается в один или, автоматически, в несколько соответствующих его деятельности рэнкингов. Участник вправе отказаться от включения в те или иные рэнкинги или рейтинги. </w:t>
      </w:r>
    </w:p>
    <w:p w14:paraId="722C2022" w14:textId="77777777" w:rsidR="008635B3" w:rsidRDefault="008635B3" w:rsidP="008635B3">
      <w:pPr>
        <w:jc w:val="both"/>
      </w:pPr>
      <w:r>
        <w:t xml:space="preserve">Если в рейтинге позиционируется аудиторская группа или сеть, то ее лидирующая (головная) компания предоставляет от имени группы отчетности всех фирм, выручка которых суммирована в анкете. Данная компания берет на себя право заверять информацию о группе, присылает организатору по электронной почте анкету, отчетности и формы, а также несет ответственность за достоверность предоставленных сведений. </w:t>
      </w:r>
    </w:p>
    <w:p w14:paraId="21D9B975" w14:textId="77777777" w:rsidR="008635B3" w:rsidRDefault="008635B3" w:rsidP="008635B3">
      <w:pPr>
        <w:jc w:val="both"/>
      </w:pPr>
      <w:r>
        <w:t xml:space="preserve">При отражении в анкете консолидированных данных, </w:t>
      </w:r>
      <w:r w:rsidRPr="00264AA2">
        <w:rPr>
          <w:b/>
          <w:bCs/>
        </w:rPr>
        <w:t>нужно указать признак зависимости компаний</w:t>
      </w:r>
      <w:r>
        <w:t xml:space="preserve">. Организатор рэнкинга проверяет информацию о составе группы и вправе запросить любую информацию, подтверждающую зависимость компаний (или членство в аудиторской сети). Отказ от предоставления информации дает организатору право не учитывать показатели группы. Если во время проверки информации о выручке и аффилированности, организатор находит существенные отличия, указывающие на то, что данные за исследуемый период, предоставленные участником, искажены, то он вправе отказать в предоставлении услуг по обработке информации для включения показателей данного участника в рэнкинг. Основанием становится несоответствие предоставляемой участником информации методике и условиям участия в проекте. Организация не может быть участником более чем одной группы или сети. </w:t>
      </w:r>
    </w:p>
    <w:p w14:paraId="38AC6FC8" w14:textId="77777777" w:rsidR="008635B3" w:rsidRDefault="008635B3" w:rsidP="008635B3">
      <w:pPr>
        <w:jc w:val="both"/>
      </w:pPr>
      <w:r>
        <w:t xml:space="preserve">Предоставляя данные по группе, </w:t>
      </w:r>
      <w:r w:rsidRPr="00264AA2">
        <w:rPr>
          <w:b/>
          <w:bCs/>
        </w:rPr>
        <w:t>в анкете нужно указать сведения о внутригрупповой выручке – она не может учитываться как доход от аудита и (или) консалтинга</w:t>
      </w:r>
      <w:r>
        <w:t xml:space="preserve">. </w:t>
      </w:r>
    </w:p>
    <w:p w14:paraId="4A4920ED" w14:textId="77777777" w:rsidR="008635B3" w:rsidRDefault="008635B3" w:rsidP="008635B3">
      <w:pPr>
        <w:jc w:val="both"/>
      </w:pPr>
      <w:r>
        <w:t xml:space="preserve">Вне зависимости от направления деятельности, выручку подтверждает скан-копия </w:t>
      </w:r>
      <w:r w:rsidRPr="00264AA2">
        <w:rPr>
          <w:b/>
          <w:bCs/>
        </w:rPr>
        <w:t>формы №2 бухгалтерской отчетности (для не аудиторских компаний) и скан-копия формы №2-аудит (для аудиторских компаний)</w:t>
      </w:r>
      <w:r>
        <w:t xml:space="preserve">. Отказ от предоставления форм дает право организатору рэнкинга отказать в предоставлении услуг. Документы отправляются по электронной почте. Для подтверждения выручки организатор вправе запросить примеры крупнейших клиентов за исследуемый период. Крупнейшие клиенты – это компании, внесшие наибольший вклад в объем выручки. </w:t>
      </w:r>
    </w:p>
    <w:p w14:paraId="7280F2B2" w14:textId="77777777" w:rsidR="008635B3" w:rsidRDefault="008635B3" w:rsidP="008635B3">
      <w:pPr>
        <w:jc w:val="both"/>
      </w:pPr>
      <w:r w:rsidRPr="00264AA2">
        <w:rPr>
          <w:b/>
          <w:bCs/>
        </w:rPr>
        <w:t>Организатор вправе запросить данные о факторах достижения выдающихся результатов у компаний, рост выручки которых превышает 50%.</w:t>
      </w:r>
      <w:r>
        <w:t xml:space="preserve"> Отказ в обосновании роста выручки, дает право организатору не указывать в рэнкинге темпы роста участника. </w:t>
      </w:r>
    </w:p>
    <w:p w14:paraId="57EB8542" w14:textId="77777777" w:rsidR="008635B3" w:rsidRDefault="008635B3" w:rsidP="008635B3">
      <w:pPr>
        <w:jc w:val="both"/>
      </w:pPr>
      <w:r>
        <w:lastRenderedPageBreak/>
        <w:t xml:space="preserve">Заверяя анкету, участник подтверждает право организатора получить из иных источников, в том числе государственных, информацию, подтверждающую сведения, направленные для рэнкинга и публикации. При расхождении показателей и отсутствии обоснований со стороны участника, организатор вправе отказать в предоставлении услуги или опровергнуть опубликованные данные (если искажение выявлено после публикации). </w:t>
      </w:r>
    </w:p>
    <w:p w14:paraId="016412B7" w14:textId="77777777" w:rsidR="008635B3" w:rsidRDefault="008635B3" w:rsidP="008635B3">
      <w:pPr>
        <w:jc w:val="both"/>
      </w:pPr>
    </w:p>
    <w:p w14:paraId="772EB2DF" w14:textId="77777777" w:rsidR="008635B3" w:rsidRPr="002421A5" w:rsidRDefault="008635B3" w:rsidP="008635B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caps/>
          <w:color w:val="C00000"/>
          <w:sz w:val="24"/>
          <w:szCs w:val="24"/>
          <w:lang w:eastAsia="ru-RU"/>
        </w:rPr>
      </w:pPr>
      <w:bookmarkStart w:id="3" w:name="_Hlk34213423"/>
      <w:r w:rsidRPr="002421A5">
        <w:rPr>
          <w:rFonts w:ascii="Calibri" w:eastAsia="Times New Roman" w:hAnsi="Calibri" w:cs="Calibri"/>
          <w:b/>
          <w:bCs/>
          <w:caps/>
          <w:color w:val="C00000"/>
          <w:sz w:val="24"/>
          <w:szCs w:val="24"/>
          <w:lang w:eastAsia="ru-RU"/>
        </w:rPr>
        <w:t>Рейтинг делового потенциала</w:t>
      </w:r>
      <w:r>
        <w:rPr>
          <w:rFonts w:ascii="Calibri" w:eastAsia="Times New Roman" w:hAnsi="Calibri" w:cs="Calibri"/>
          <w:b/>
          <w:bCs/>
          <w:caps/>
          <w:color w:val="C00000"/>
          <w:sz w:val="24"/>
          <w:szCs w:val="24"/>
          <w:lang w:eastAsia="ru-RU"/>
        </w:rPr>
        <w:t xml:space="preserve"> </w:t>
      </w:r>
    </w:p>
    <w:bookmarkEnd w:id="3"/>
    <w:p w14:paraId="5590FE49" w14:textId="77777777" w:rsidR="008635B3" w:rsidRDefault="008635B3" w:rsidP="008635B3">
      <w:pPr>
        <w:spacing w:before="100" w:beforeAutospacing="1" w:after="100" w:afterAutospacing="1" w:line="240" w:lineRule="auto"/>
        <w:jc w:val="both"/>
      </w:pPr>
      <w:r w:rsidRPr="007560E3">
        <w:t>Рейтинг делового потенциала аудиторских организаций предусматривает анализ ряда критериев аудиторской деятельности и ее субъектов. Деятельность оценивается по ряду критериев – в итоге выявляются компании, обладающие наибольшим деловым потенциалом. По результатам сравнения (нормирования) значений критериев участник получает рейтинговые баллы по каждому критерию, варьирующиеся от 0 до 1. Рейтинговый балл, полученный по каждому критерию, умножается на вес данного критерия. Итоговый рейтинговый балл определяется суммированием взвешенных рейтинговых баллов критериев. В соответствии с итоговым рейтинговым баллом компании ранжируются в списке, и им присваивается позиция в рейтинге делового потенциала, которая в дальнейшем отражается в свидетельстве.</w:t>
      </w:r>
    </w:p>
    <w:p w14:paraId="367823D7" w14:textId="77777777" w:rsidR="008635B3" w:rsidRPr="00894054" w:rsidRDefault="008635B3" w:rsidP="008635B3">
      <w:pPr>
        <w:spacing w:before="100" w:beforeAutospacing="1" w:after="100" w:afterAutospacing="1" w:line="240" w:lineRule="auto"/>
        <w:jc w:val="both"/>
        <w:rPr>
          <w:b/>
          <w:bCs/>
        </w:rPr>
      </w:pPr>
      <w:r w:rsidRPr="00894054">
        <w:rPr>
          <w:b/>
          <w:bCs/>
        </w:rPr>
        <w:t>РЕЙТИНГ ДЕЛОВОГО ПОТЕНЦИАЛА АУДИТОРСКИХ ОРГАНИЗАЦИЙ</w:t>
      </w:r>
    </w:p>
    <w:p w14:paraId="3A03C978" w14:textId="77777777" w:rsidR="008635B3" w:rsidRPr="00894054" w:rsidRDefault="008635B3" w:rsidP="008635B3">
      <w:pPr>
        <w:spacing w:before="100" w:beforeAutospacing="1" w:after="100" w:afterAutospacing="1" w:line="240" w:lineRule="auto"/>
        <w:jc w:val="both"/>
        <w:rPr>
          <w:b/>
          <w:bCs/>
        </w:rPr>
      </w:pPr>
      <w:r w:rsidRPr="00894054">
        <w:rPr>
          <w:b/>
          <w:bCs/>
        </w:rPr>
        <w:t>УЧАСТНИКИ</w:t>
      </w:r>
    </w:p>
    <w:p w14:paraId="3E54DCAE" w14:textId="77777777" w:rsidR="008635B3" w:rsidRDefault="008635B3" w:rsidP="008635B3">
      <w:pPr>
        <w:spacing w:before="100" w:beforeAutospacing="1" w:after="100" w:afterAutospacing="1" w:line="240" w:lineRule="auto"/>
        <w:jc w:val="both"/>
      </w:pPr>
      <w:r>
        <w:t xml:space="preserve">Аудиторские организации (субъекты аудиторской деятельности) – каждый участник рэнкинга представлен одним юридическим лицом. </w:t>
      </w:r>
    </w:p>
    <w:p w14:paraId="58A2E21D" w14:textId="77777777" w:rsidR="008635B3" w:rsidRDefault="008635B3" w:rsidP="008635B3">
      <w:pPr>
        <w:spacing w:before="100" w:beforeAutospacing="1" w:after="100" w:afterAutospacing="1" w:line="240" w:lineRule="auto"/>
        <w:jc w:val="both"/>
      </w:pPr>
      <w:r w:rsidRPr="008B60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BA611" wp14:editId="7BCEBFED">
                <wp:simplePos x="0" y="0"/>
                <wp:positionH relativeFrom="margin">
                  <wp:align>left</wp:align>
                </wp:positionH>
                <wp:positionV relativeFrom="paragraph">
                  <wp:posOffset>-63610</wp:posOffset>
                </wp:positionV>
                <wp:extent cx="5984240" cy="6985"/>
                <wp:effectExtent l="0" t="0" r="35560" b="311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84240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C9C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5pt;width:471.2pt;height:.55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" strokecolor="#c00000" strokeweight="1.5pt">
                <w10:wrap anchorx="margin"/>
              </v:shape>
            </w:pict>
          </mc:Fallback>
        </mc:AlternateContent>
      </w:r>
      <w:r w:rsidRPr="00894054">
        <w:t>В р</w:t>
      </w:r>
      <w:r>
        <w:t>ейтинг</w:t>
      </w:r>
      <w:r w:rsidRPr="00894054">
        <w:t xml:space="preserve"> включаются аудиторские организации, у которых доля выручки от аудиторской деятельности</w:t>
      </w:r>
      <w:r>
        <w:rPr>
          <w:rStyle w:val="a6"/>
        </w:rPr>
        <w:footnoteReference w:id="1"/>
      </w:r>
      <w:r w:rsidRPr="00894054">
        <w:t xml:space="preserve"> (без учета прочих услуг, связанных с аудиторской деятельностью) составляет не менее 15%. </w:t>
      </w:r>
    </w:p>
    <w:p w14:paraId="7BC969BE" w14:textId="77777777" w:rsidR="008635B3" w:rsidRDefault="008635B3" w:rsidP="008635B3">
      <w:pPr>
        <w:spacing w:before="100" w:beforeAutospacing="1" w:after="100" w:afterAutospacing="1" w:line="240" w:lineRule="auto"/>
        <w:jc w:val="both"/>
      </w:pPr>
      <w:r w:rsidRPr="008B60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5DA90" wp14:editId="06BE9CB5">
                <wp:simplePos x="0" y="0"/>
                <wp:positionH relativeFrom="margin">
                  <wp:align>left</wp:align>
                </wp:positionH>
                <wp:positionV relativeFrom="paragraph">
                  <wp:posOffset>9994</wp:posOffset>
                </wp:positionV>
                <wp:extent cx="5984240" cy="6985"/>
                <wp:effectExtent l="0" t="0" r="35560" b="311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84240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7ED5C" id="Прямая со стрелкой 9" o:spid="_x0000_s1026" type="#_x0000_t32" style="position:absolute;margin-left:0;margin-top:.8pt;width:471.2pt;height:.55pt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" strokecolor="#c00000" strokeweight="1.5pt">
                <w10:wrap anchorx="margin"/>
              </v:shape>
            </w:pict>
          </mc:Fallback>
        </mc:AlternateContent>
      </w:r>
    </w:p>
    <w:p w14:paraId="78EA9DD9" w14:textId="77777777" w:rsidR="008635B3" w:rsidRPr="00894054" w:rsidRDefault="008635B3" w:rsidP="008635B3">
      <w:pPr>
        <w:spacing w:before="100" w:beforeAutospacing="1" w:after="100" w:afterAutospacing="1" w:line="240" w:lineRule="auto"/>
        <w:jc w:val="both"/>
        <w:rPr>
          <w:b/>
          <w:bCs/>
        </w:rPr>
      </w:pPr>
      <w:r w:rsidRPr="00894054">
        <w:rPr>
          <w:b/>
          <w:bCs/>
        </w:rPr>
        <w:t xml:space="preserve">СВЕРКА ДАННЫХ  </w:t>
      </w:r>
    </w:p>
    <w:p w14:paraId="5BB6898A" w14:textId="77777777" w:rsidR="008635B3" w:rsidRDefault="008635B3" w:rsidP="008635B3">
      <w:pPr>
        <w:spacing w:before="100" w:beforeAutospacing="1" w:after="100" w:afterAutospacing="1" w:line="240" w:lineRule="auto"/>
        <w:jc w:val="both"/>
      </w:pPr>
      <w:r>
        <w:t>Форма №2-аудит. Компании включаются в рэнкинг только после предоставления данной формы. Если информация, содержащаяся в форме, предоставленной организатору рэнкинга, отличается от показателей формы, предоставленной регулятору аудиторской деятельности, то организатор вправе отказать в предоставлении услуг по обработке информации или вправе опровергнуть сведения, включенные в рэнкинг; при выявлении намеренного искажения данных, компания к участию в рэнкинге не допускается.</w:t>
      </w:r>
    </w:p>
    <w:p w14:paraId="04C748C8" w14:textId="77777777" w:rsidR="008635B3" w:rsidRPr="009D0C57" w:rsidRDefault="008635B3" w:rsidP="008635B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</w:pPr>
      <w:r w:rsidRPr="009D0C57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Рейтинг делового потенциала аудиторских групп и сетей</w:t>
      </w:r>
    </w:p>
    <w:p w14:paraId="6C3FC55E" w14:textId="77777777" w:rsidR="008635B3" w:rsidRPr="00F70377" w:rsidRDefault="008635B3" w:rsidP="008635B3">
      <w:pPr>
        <w:rPr>
          <w:b/>
          <w:bCs/>
        </w:rPr>
      </w:pPr>
      <w:r w:rsidRPr="00F70377">
        <w:rPr>
          <w:b/>
          <w:bCs/>
        </w:rPr>
        <w:t xml:space="preserve">УЧАСТНИКИ </w:t>
      </w:r>
    </w:p>
    <w:p w14:paraId="6583A780" w14:textId="77777777" w:rsidR="008635B3" w:rsidRDefault="008635B3" w:rsidP="008635B3">
      <w:pPr>
        <w:pStyle w:val="a3"/>
        <w:numPr>
          <w:ilvl w:val="0"/>
          <w:numId w:val="2"/>
        </w:numPr>
        <w:jc w:val="both"/>
      </w:pPr>
      <w:r w:rsidRPr="00F70377">
        <w:rPr>
          <w:b/>
          <w:bCs/>
        </w:rPr>
        <w:t>аудиторские группы:</w:t>
      </w:r>
      <w:r>
        <w:t xml:space="preserve"> группы аффилированных компаний во главе с аудиторской организацией или во главе с компанией, созданной собственниками бизнеса для управления аффилированными компаниями группы; </w:t>
      </w:r>
    </w:p>
    <w:p w14:paraId="06BDB930" w14:textId="77777777" w:rsidR="008635B3" w:rsidRDefault="008635B3" w:rsidP="008635B3">
      <w:pPr>
        <w:pStyle w:val="a3"/>
        <w:numPr>
          <w:ilvl w:val="0"/>
          <w:numId w:val="2"/>
        </w:numPr>
        <w:jc w:val="both"/>
      </w:pPr>
      <w:r w:rsidRPr="00F70377">
        <w:rPr>
          <w:b/>
          <w:bCs/>
        </w:rPr>
        <w:lastRenderedPageBreak/>
        <w:t>аудиторские сети:</w:t>
      </w:r>
      <w:r>
        <w:t xml:space="preserve"> российские юридические лица, работающие под брендом международной или национальной аудиторской сети, соответствующей критериям (требованиям) Министерства финансов. </w:t>
      </w:r>
    </w:p>
    <w:p w14:paraId="37761831" w14:textId="77777777" w:rsidR="008635B3" w:rsidRPr="00F70377" w:rsidRDefault="008635B3" w:rsidP="008635B3">
      <w:pPr>
        <w:rPr>
          <w:b/>
          <w:bCs/>
        </w:rPr>
      </w:pPr>
      <w:r w:rsidRPr="00F70377">
        <w:rPr>
          <w:b/>
          <w:bCs/>
        </w:rPr>
        <w:t>ДОЛЯ ВЫРУЧКИ ОТ АУДИТОРСКОЙ ДЕЯТЕЛЬНОСТИ</w:t>
      </w:r>
      <w:r>
        <w:rPr>
          <w:rStyle w:val="a6"/>
          <w:b/>
          <w:bCs/>
        </w:rPr>
        <w:footnoteReference w:id="2"/>
      </w:r>
    </w:p>
    <w:p w14:paraId="488ADAA7" w14:textId="77777777" w:rsidR="008635B3" w:rsidRDefault="008635B3" w:rsidP="008635B3">
      <w:pPr>
        <w:jc w:val="both"/>
      </w:pPr>
      <w:r>
        <w:t xml:space="preserve">В суммарном доходе группы или сети доля выручки от аудиторской деятельности должна составлять не менее 20% (без учета выручки от прочих услуг, связанных с аудиторской деятельностью – консалтинг). </w:t>
      </w:r>
    </w:p>
    <w:p w14:paraId="11F3241E" w14:textId="77777777" w:rsidR="008635B3" w:rsidRPr="00F70377" w:rsidRDefault="008635B3" w:rsidP="008635B3">
      <w:pPr>
        <w:rPr>
          <w:b/>
          <w:bCs/>
        </w:rPr>
      </w:pPr>
      <w:r w:rsidRPr="00F70377">
        <w:rPr>
          <w:b/>
          <w:bCs/>
        </w:rPr>
        <w:t xml:space="preserve">НАЗВАНИЕ ГРУППЫ </w:t>
      </w:r>
    </w:p>
    <w:p w14:paraId="37BD5882" w14:textId="77777777" w:rsidR="008635B3" w:rsidRDefault="008635B3" w:rsidP="008635B3">
      <w:pPr>
        <w:jc w:val="both"/>
      </w:pPr>
      <w:r>
        <w:t xml:space="preserve">Название приводится в соответствии с наименованием головной аудиторской организации. Если головная аудиторская компания имеет торговую марку, то позиционирование в рэнкинге допускается под данной торговой маркой с приведением сноски о наименовании головной организации. Участие группы под наименованием компании, созданной собственниками с целью управления компаниями группы, допускается, если такое наименование идентифицирует название любой из аудиторских организаций группы или международную сеть, членами которой являются компании. </w:t>
      </w:r>
    </w:p>
    <w:p w14:paraId="75F9433F" w14:textId="77777777" w:rsidR="008635B3" w:rsidRPr="00AD50F4" w:rsidRDefault="008635B3" w:rsidP="008635B3">
      <w:pPr>
        <w:rPr>
          <w:b/>
          <w:bCs/>
        </w:rPr>
      </w:pPr>
      <w:r w:rsidRPr="00AD50F4">
        <w:rPr>
          <w:b/>
          <w:bCs/>
        </w:rPr>
        <w:t xml:space="preserve">НАЗВАНИЕ СЕТИ </w:t>
      </w:r>
    </w:p>
    <w:p w14:paraId="7695C7C9" w14:textId="77777777" w:rsidR="008635B3" w:rsidRDefault="008635B3" w:rsidP="008635B3">
      <w:pPr>
        <w:jc w:val="both"/>
      </w:pPr>
      <w:r>
        <w:t xml:space="preserve">Официальное название международной, либо национальной сети, или утвержденное и официально принятое в России название сети.  </w:t>
      </w:r>
    </w:p>
    <w:p w14:paraId="6B1E6C9E" w14:textId="77777777" w:rsidR="008635B3" w:rsidRPr="00AD50F4" w:rsidRDefault="008635B3" w:rsidP="008635B3">
      <w:pPr>
        <w:rPr>
          <w:b/>
          <w:bCs/>
        </w:rPr>
      </w:pPr>
      <w:r w:rsidRPr="00AD50F4">
        <w:rPr>
          <w:b/>
          <w:bCs/>
        </w:rPr>
        <w:t xml:space="preserve">КРИТЕРИЙ АФФИЛИРОВАННОСТИ (ЗАВИСИМОСТИ) </w:t>
      </w:r>
    </w:p>
    <w:p w14:paraId="0939DA52" w14:textId="77777777" w:rsidR="008635B3" w:rsidRDefault="008635B3" w:rsidP="008635B3">
      <w:pPr>
        <w:pStyle w:val="a3"/>
        <w:numPr>
          <w:ilvl w:val="0"/>
          <w:numId w:val="4"/>
        </w:numPr>
        <w:jc w:val="both"/>
      </w:pPr>
      <w:r>
        <w:t xml:space="preserve">дочерние и зависимые общества, деятельность которых относится к аудиту и/или консалтингу с долей в головной или в управляющей компании, равной или больше 20%; </w:t>
      </w:r>
    </w:p>
    <w:p w14:paraId="0B792514" w14:textId="77777777" w:rsidR="008635B3" w:rsidRDefault="008635B3" w:rsidP="008635B3">
      <w:pPr>
        <w:pStyle w:val="a3"/>
        <w:numPr>
          <w:ilvl w:val="0"/>
          <w:numId w:val="4"/>
        </w:numPr>
        <w:jc w:val="both"/>
      </w:pPr>
      <w:r>
        <w:t xml:space="preserve">учредитель или совладелец головной компании (доля не менее 20%) является учредителем или совладельцем (не менее 20%) других компаний в области аудита и/или консалтинга; </w:t>
      </w:r>
    </w:p>
    <w:p w14:paraId="419026F7" w14:textId="77777777" w:rsidR="008635B3" w:rsidRDefault="008635B3" w:rsidP="008635B3">
      <w:pPr>
        <w:pStyle w:val="a3"/>
        <w:numPr>
          <w:ilvl w:val="0"/>
          <w:numId w:val="4"/>
        </w:numPr>
        <w:jc w:val="both"/>
      </w:pPr>
      <w:r>
        <w:t xml:space="preserve">учредитель или совладелец головной компании (доля не менее 20%) является единоличным исполнительным органом других компаний (аудит и/или консалтинг); </w:t>
      </w:r>
    </w:p>
    <w:p w14:paraId="52339C22" w14:textId="77777777" w:rsidR="008635B3" w:rsidRDefault="008635B3" w:rsidP="008635B3">
      <w:pPr>
        <w:pStyle w:val="a3"/>
        <w:numPr>
          <w:ilvl w:val="0"/>
          <w:numId w:val="4"/>
        </w:numPr>
        <w:jc w:val="both"/>
      </w:pPr>
      <w:r>
        <w:t xml:space="preserve">единоличный исполнительный орган головной аудиторской компании является единоличным исполнительным органом в других компаниях (аудит и/или консалтинг). </w:t>
      </w:r>
    </w:p>
    <w:p w14:paraId="20F9AC5B" w14:textId="77777777" w:rsidR="008635B3" w:rsidRPr="00AD50F4" w:rsidRDefault="008635B3" w:rsidP="008635B3">
      <w:pPr>
        <w:rPr>
          <w:b/>
          <w:bCs/>
        </w:rPr>
      </w:pPr>
      <w:r w:rsidRPr="00AD50F4">
        <w:rPr>
          <w:b/>
          <w:bCs/>
        </w:rPr>
        <w:t xml:space="preserve">КРИТЕРИИ ВХОЖДЕНИЯ В СЕТЬ  </w:t>
      </w:r>
    </w:p>
    <w:p w14:paraId="2555D708" w14:textId="77777777" w:rsidR="008635B3" w:rsidRDefault="008635B3" w:rsidP="008635B3">
      <w:pPr>
        <w:pStyle w:val="a3"/>
        <w:numPr>
          <w:ilvl w:val="0"/>
          <w:numId w:val="5"/>
        </w:numPr>
        <w:jc w:val="both"/>
      </w:pPr>
      <w:r>
        <w:t xml:space="preserve">Международная аудиторская сеть: лицензионное соглашение аудиторской компании с международной аудиторской сетью, входящей в список </w:t>
      </w:r>
      <w:proofErr w:type="spellStart"/>
      <w:r>
        <w:t>Forum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Firms</w:t>
      </w:r>
      <w:proofErr w:type="spellEnd"/>
      <w:r>
        <w:t xml:space="preserve">; наличие аудиторской компании в списке членов на официальном сайте международной сети. </w:t>
      </w:r>
    </w:p>
    <w:p w14:paraId="69271BAE" w14:textId="77777777" w:rsidR="008635B3" w:rsidRDefault="008635B3" w:rsidP="008635B3">
      <w:pPr>
        <w:pStyle w:val="a3"/>
        <w:numPr>
          <w:ilvl w:val="0"/>
          <w:numId w:val="5"/>
        </w:numPr>
        <w:jc w:val="both"/>
      </w:pPr>
      <w:r>
        <w:t xml:space="preserve">Национальная аудиторская сеть: соответствие критериям (требованиям) Министерства финансов (соответствующий протокол на сайте www.minfin.ru). </w:t>
      </w:r>
    </w:p>
    <w:p w14:paraId="1C5DD0E2" w14:textId="77777777" w:rsidR="008635B3" w:rsidRPr="00AD50F4" w:rsidRDefault="008635B3" w:rsidP="008635B3">
      <w:pPr>
        <w:rPr>
          <w:b/>
          <w:bCs/>
        </w:rPr>
      </w:pPr>
      <w:r w:rsidRPr="00AD50F4">
        <w:rPr>
          <w:b/>
          <w:bCs/>
        </w:rPr>
        <w:t xml:space="preserve">СВЕРКА ДАННЫХ  </w:t>
      </w:r>
    </w:p>
    <w:p w14:paraId="56232C71" w14:textId="77777777" w:rsidR="008635B3" w:rsidRDefault="008635B3" w:rsidP="008635B3">
      <w:pPr>
        <w:jc w:val="both"/>
      </w:pPr>
      <w:r>
        <w:t xml:space="preserve">По формам №2-аудит и №2 бухгалтерской отчетности всех компаний, учитываемых в группе.  </w:t>
      </w:r>
    </w:p>
    <w:p w14:paraId="1E6CC9B0" w14:textId="77777777" w:rsidR="008635B3" w:rsidRDefault="008635B3" w:rsidP="008635B3">
      <w:pPr>
        <w:jc w:val="both"/>
      </w:pPr>
      <w:r>
        <w:t xml:space="preserve">Если из-за сроков подготовки участник не может предоставить форму №2 бухгалтерской отчетности за исследуемый период, то запрашиваются формы за предшествующий период (в этом случае в </w:t>
      </w:r>
      <w:r>
        <w:lastRenderedPageBreak/>
        <w:t xml:space="preserve">рэнкинге приводится сноска о периоде, за который предоставлена отчетность в качестве подтверждения данных).  </w:t>
      </w:r>
    </w:p>
    <w:p w14:paraId="4E822839" w14:textId="77777777" w:rsidR="008635B3" w:rsidRDefault="008635B3" w:rsidP="008635B3">
      <w:pPr>
        <w:jc w:val="both"/>
      </w:pPr>
      <w:r>
        <w:t xml:space="preserve">Если впоследствии организатор выявляет существенные отличия, указывающие на то, что данные за исследуемый период, предоставляемые для рэнкинга, были преднамеренно искажены, то опубликованные организатором рэнкинга сведения опровергаются, а участник к участию в проекте не допускается. </w:t>
      </w:r>
    </w:p>
    <w:p w14:paraId="724DF0E4" w14:textId="77777777" w:rsidR="008635B3" w:rsidRPr="00AD50F4" w:rsidRDefault="008635B3" w:rsidP="008635B3">
      <w:pPr>
        <w:rPr>
          <w:b/>
          <w:bCs/>
        </w:rPr>
      </w:pPr>
      <w:r w:rsidRPr="00AD50F4">
        <w:rPr>
          <w:b/>
          <w:bCs/>
        </w:rPr>
        <w:t xml:space="preserve">ПОДТВЕРЖДЕНИЕ СТАТУСА ЧЛЕНСТВА В СЕТИ </w:t>
      </w:r>
    </w:p>
    <w:p w14:paraId="331F4108" w14:textId="77777777" w:rsidR="008635B3" w:rsidRDefault="008635B3" w:rsidP="008635B3">
      <w:pPr>
        <w:jc w:val="both"/>
      </w:pPr>
      <w:r>
        <w:t xml:space="preserve">Перечень международных сетей, входящих в список </w:t>
      </w:r>
      <w:proofErr w:type="spellStart"/>
      <w:r>
        <w:t>Forum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Firms</w:t>
      </w:r>
      <w:proofErr w:type="spellEnd"/>
      <w:r>
        <w:t xml:space="preserve">; государственный реестр Министерства финансов; официальные интернет-сайты сетей с информацией о членстве российских юридических лиц. </w:t>
      </w:r>
    </w:p>
    <w:p w14:paraId="510EA074" w14:textId="77777777" w:rsidR="008635B3" w:rsidRDefault="008635B3" w:rsidP="008635B3">
      <w:pPr>
        <w:jc w:val="both"/>
      </w:pPr>
      <w:r>
        <w:t xml:space="preserve">По итогам проекта организатор рэнкинга вправе разместить в базе данных на сайте агентства перечень членов соответствующих сетей и состав аудиторских групп. </w:t>
      </w:r>
    </w:p>
    <w:p w14:paraId="440F8C66" w14:textId="77777777" w:rsidR="008635B3" w:rsidRPr="00BE7748" w:rsidRDefault="008635B3" w:rsidP="008635B3">
      <w:pPr>
        <w:spacing w:before="100" w:beforeAutospacing="1" w:after="100" w:afterAutospacing="1" w:line="240" w:lineRule="auto"/>
        <w:rPr>
          <w:rFonts w:eastAsia="Times New Roman" w:cs="Calibri"/>
          <w:color w:val="847FAD"/>
          <w:lang w:eastAsia="ru-RU"/>
        </w:rPr>
      </w:pPr>
      <w:r w:rsidRPr="00EE2852">
        <w:rPr>
          <w:rFonts w:eastAsia="Times New Roman" w:cs="Calibri"/>
          <w:b/>
          <w:bCs/>
          <w:color w:val="847FAD"/>
          <w:lang w:eastAsia="ru-RU"/>
        </w:rPr>
        <w:t>Критерии делового потенциала аудиторских компаний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88"/>
        <w:gridCol w:w="16"/>
        <w:gridCol w:w="5063"/>
        <w:gridCol w:w="34"/>
        <w:gridCol w:w="944"/>
      </w:tblGrid>
      <w:tr w:rsidR="008635B3" w:rsidRPr="00EE2852" w14:paraId="465AB8E5" w14:textId="77777777" w:rsidTr="00D75831">
        <w:tc>
          <w:tcPr>
            <w:tcW w:w="3304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2389EB31" w14:textId="77777777" w:rsidR="008635B3" w:rsidRPr="00EE2852" w:rsidRDefault="008635B3" w:rsidP="00D75831">
            <w:pPr>
              <w:spacing w:before="100" w:beforeAutospacing="1" w:after="100" w:afterAutospacing="1" w:line="240" w:lineRule="auto"/>
              <w:rPr>
                <w:rFonts w:eastAsia="Times New Roman" w:cs="Calibri"/>
                <w:b/>
                <w:bCs/>
                <w:lang w:eastAsia="ru-RU"/>
              </w:rPr>
            </w:pPr>
            <w:r w:rsidRPr="00EE2852">
              <w:rPr>
                <w:rFonts w:eastAsia="Times New Roman" w:cs="Calibri"/>
                <w:b/>
                <w:bCs/>
                <w:lang w:eastAsia="ru-RU"/>
              </w:rPr>
              <w:t>Критерий</w:t>
            </w:r>
          </w:p>
        </w:tc>
        <w:tc>
          <w:tcPr>
            <w:tcW w:w="5097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7D106ADF" w14:textId="77777777" w:rsidR="008635B3" w:rsidRPr="00EE2852" w:rsidRDefault="008635B3" w:rsidP="00D75831">
            <w:pPr>
              <w:spacing w:before="100" w:beforeAutospacing="1" w:after="100" w:afterAutospacing="1" w:line="240" w:lineRule="auto"/>
              <w:rPr>
                <w:rFonts w:eastAsia="Times New Roman" w:cs="Calibri"/>
                <w:b/>
                <w:bCs/>
                <w:lang w:eastAsia="ru-RU"/>
              </w:rPr>
            </w:pPr>
            <w:r w:rsidRPr="00EE2852">
              <w:rPr>
                <w:rFonts w:eastAsia="Times New Roman" w:cs="Calibri"/>
                <w:b/>
                <w:bCs/>
                <w:lang w:eastAsia="ru-RU"/>
              </w:rPr>
              <w:t>Описание критерия</w:t>
            </w:r>
          </w:p>
        </w:tc>
        <w:tc>
          <w:tcPr>
            <w:tcW w:w="944" w:type="dxa"/>
            <w:tcBorders>
              <w:bottom w:val="single" w:sz="4" w:space="0" w:color="BFBFBF"/>
            </w:tcBorders>
            <w:shd w:val="clear" w:color="auto" w:fill="auto"/>
          </w:tcPr>
          <w:p w14:paraId="79E0F66D" w14:textId="77777777" w:rsidR="008635B3" w:rsidRPr="00EE2852" w:rsidRDefault="008635B3" w:rsidP="00D75831">
            <w:pPr>
              <w:spacing w:before="100" w:beforeAutospacing="1" w:after="100" w:afterAutospacing="1" w:line="240" w:lineRule="auto"/>
              <w:rPr>
                <w:rFonts w:eastAsia="Times New Roman" w:cs="Calibri"/>
                <w:b/>
                <w:bCs/>
                <w:lang w:eastAsia="ru-RU"/>
              </w:rPr>
            </w:pPr>
            <w:r w:rsidRPr="00EE2852">
              <w:rPr>
                <w:rFonts w:eastAsia="Times New Roman" w:cs="Calibri"/>
                <w:b/>
                <w:bCs/>
                <w:lang w:eastAsia="ru-RU"/>
              </w:rPr>
              <w:t>Вес</w:t>
            </w:r>
          </w:p>
        </w:tc>
      </w:tr>
      <w:tr w:rsidR="008635B3" w:rsidRPr="00EE2852" w14:paraId="6CDE196E" w14:textId="77777777" w:rsidTr="00D75831">
        <w:tc>
          <w:tcPr>
            <w:tcW w:w="3304" w:type="dxa"/>
            <w:gridSpan w:val="2"/>
            <w:tcBorders>
              <w:bottom w:val="single" w:sz="4" w:space="0" w:color="BFBFBF"/>
            </w:tcBorders>
            <w:shd w:val="clear" w:color="auto" w:fill="C7C4DA"/>
          </w:tcPr>
          <w:p w14:paraId="2174086D" w14:textId="77777777" w:rsidR="008635B3" w:rsidRPr="001003E3" w:rsidRDefault="008635B3" w:rsidP="00D75831">
            <w:pPr>
              <w:spacing w:before="100" w:beforeAutospacing="1" w:after="100" w:afterAutospacing="1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Выручка от аудиторской деятельности и прочих услуг, связанных с ней</w:t>
            </w:r>
          </w:p>
        </w:tc>
        <w:tc>
          <w:tcPr>
            <w:tcW w:w="5097" w:type="dxa"/>
            <w:gridSpan w:val="2"/>
            <w:tcBorders>
              <w:bottom w:val="single" w:sz="4" w:space="0" w:color="BFBFBF"/>
            </w:tcBorders>
            <w:shd w:val="clear" w:color="auto" w:fill="C7C4DA"/>
          </w:tcPr>
          <w:p w14:paraId="7B741243" w14:textId="27462F89" w:rsidR="008635B3" w:rsidRPr="00EE2852" w:rsidRDefault="008635B3" w:rsidP="00D75831">
            <w:pPr>
              <w:spacing w:before="100" w:beforeAutospacing="1" w:after="100" w:afterAutospacing="1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Показатель за 20</w:t>
            </w:r>
            <w:r w:rsidR="00A54777">
              <w:rPr>
                <w:rFonts w:eastAsia="Times New Roman" w:cs="Calibri"/>
                <w:lang w:eastAsia="ru-RU"/>
              </w:rPr>
              <w:t>20</w:t>
            </w:r>
            <w:r>
              <w:rPr>
                <w:rFonts w:eastAsia="Times New Roman" w:cs="Calibri"/>
                <w:lang w:eastAsia="ru-RU"/>
              </w:rPr>
              <w:t xml:space="preserve"> год. </w:t>
            </w:r>
            <w:r>
              <w:rPr>
                <w:rFonts w:eastAsia="Times New Roman" w:cs="Calibri"/>
                <w:bCs/>
                <w:lang w:eastAsia="ru-RU"/>
              </w:rPr>
              <w:t>В</w:t>
            </w:r>
            <w:r w:rsidRPr="001003E3">
              <w:rPr>
                <w:rFonts w:eastAsia="Times New Roman" w:cs="Calibri"/>
                <w:bCs/>
                <w:lang w:eastAsia="ru-RU"/>
              </w:rPr>
              <w:t>ключа</w:t>
            </w:r>
            <w:r>
              <w:rPr>
                <w:rFonts w:eastAsia="Times New Roman" w:cs="Calibri"/>
                <w:bCs/>
                <w:lang w:eastAsia="ru-RU"/>
              </w:rPr>
              <w:t>ет</w:t>
            </w:r>
            <w:r w:rsidRPr="001003E3">
              <w:rPr>
                <w:rFonts w:eastAsia="Times New Roman" w:cs="Calibri"/>
                <w:bCs/>
                <w:lang w:eastAsia="ru-RU"/>
              </w:rPr>
              <w:t xml:space="preserve"> выручку от обязательного, инициативного аудита</w:t>
            </w:r>
            <w:r>
              <w:rPr>
                <w:rFonts w:eastAsia="Times New Roman" w:cs="Calibri"/>
                <w:bCs/>
                <w:lang w:eastAsia="ru-RU"/>
              </w:rPr>
              <w:t>,</w:t>
            </w:r>
            <w:r w:rsidRPr="001003E3">
              <w:rPr>
                <w:rFonts w:eastAsia="Times New Roman" w:cs="Calibri"/>
                <w:bCs/>
                <w:lang w:eastAsia="ru-RU"/>
              </w:rPr>
              <w:t xml:space="preserve"> сопутствующих аудиту услуг</w:t>
            </w:r>
            <w:r>
              <w:rPr>
                <w:rFonts w:eastAsia="Times New Roman" w:cs="Calibri"/>
                <w:bCs/>
                <w:lang w:eastAsia="ru-RU"/>
              </w:rPr>
              <w:t xml:space="preserve"> и прочих услуг, связанных с аудиторской деятельностью (консалтинг)</w:t>
            </w:r>
            <w:r w:rsidRPr="001003E3">
              <w:rPr>
                <w:rFonts w:eastAsia="Times New Roman" w:cs="Calibri"/>
                <w:bCs/>
                <w:lang w:eastAsia="ru-RU"/>
              </w:rPr>
              <w:t xml:space="preserve">. Подтверждается формой </w:t>
            </w:r>
            <w:r>
              <w:rPr>
                <w:rFonts w:eastAsia="Times New Roman" w:cs="Calibri"/>
                <w:bCs/>
                <w:lang w:eastAsia="ru-RU"/>
              </w:rPr>
              <w:t>2</w:t>
            </w:r>
            <w:r w:rsidRPr="001003E3">
              <w:rPr>
                <w:rFonts w:eastAsia="Times New Roman" w:cs="Calibri"/>
                <w:bCs/>
                <w:lang w:eastAsia="ru-RU"/>
              </w:rPr>
              <w:t xml:space="preserve"> аудит</w:t>
            </w:r>
          </w:p>
        </w:tc>
        <w:tc>
          <w:tcPr>
            <w:tcW w:w="944" w:type="dxa"/>
            <w:tcBorders>
              <w:bottom w:val="single" w:sz="4" w:space="0" w:color="BFBFBF"/>
            </w:tcBorders>
            <w:shd w:val="clear" w:color="auto" w:fill="C7C4DA"/>
          </w:tcPr>
          <w:p w14:paraId="2EED9E49" w14:textId="77777777" w:rsidR="008635B3" w:rsidRPr="00EE2852" w:rsidRDefault="008635B3" w:rsidP="00D75831">
            <w:pPr>
              <w:spacing w:before="100" w:beforeAutospacing="1" w:after="100" w:afterAutospacing="1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30%</w:t>
            </w:r>
          </w:p>
        </w:tc>
      </w:tr>
      <w:tr w:rsidR="008635B3" w:rsidRPr="001003E3" w14:paraId="546D5EE5" w14:textId="77777777" w:rsidTr="00D75831">
        <w:tc>
          <w:tcPr>
            <w:tcW w:w="3304" w:type="dxa"/>
            <w:gridSpan w:val="2"/>
            <w:tcBorders>
              <w:bottom w:val="single" w:sz="4" w:space="0" w:color="BFBFBF"/>
            </w:tcBorders>
            <w:shd w:val="clear" w:color="auto" w:fill="D5DCE4" w:themeFill="text2" w:themeFillTint="33"/>
            <w:hideMark/>
          </w:tcPr>
          <w:p w14:paraId="1F8272AB" w14:textId="77777777" w:rsidR="008635B3" w:rsidRPr="001003E3" w:rsidRDefault="008635B3" w:rsidP="00D75831">
            <w:pPr>
              <w:spacing w:before="100" w:beforeAutospacing="1" w:after="100" w:afterAutospacing="1" w:line="240" w:lineRule="auto"/>
              <w:rPr>
                <w:rFonts w:eastAsia="Times New Roman" w:cs="Calibri"/>
                <w:bCs/>
                <w:lang w:eastAsia="ru-RU"/>
              </w:rPr>
            </w:pPr>
            <w:r w:rsidRPr="001003E3">
              <w:rPr>
                <w:rFonts w:eastAsia="Times New Roman" w:cs="Calibri"/>
                <w:bCs/>
                <w:lang w:eastAsia="ru-RU"/>
              </w:rPr>
              <w:t>Выручка от аудиторской деятельности</w:t>
            </w:r>
          </w:p>
        </w:tc>
        <w:tc>
          <w:tcPr>
            <w:tcW w:w="5097" w:type="dxa"/>
            <w:gridSpan w:val="2"/>
            <w:tcBorders>
              <w:bottom w:val="single" w:sz="4" w:space="0" w:color="BFBFBF"/>
            </w:tcBorders>
            <w:shd w:val="clear" w:color="auto" w:fill="D5DCE4" w:themeFill="text2" w:themeFillTint="33"/>
            <w:hideMark/>
          </w:tcPr>
          <w:p w14:paraId="6A75DE90" w14:textId="30F1B05D" w:rsidR="008635B3" w:rsidRPr="001003E3" w:rsidRDefault="008635B3" w:rsidP="00D75831">
            <w:pPr>
              <w:spacing w:before="100" w:beforeAutospacing="1" w:after="100" w:afterAutospacing="1" w:line="240" w:lineRule="auto"/>
              <w:rPr>
                <w:rFonts w:eastAsia="Times New Roman" w:cs="Calibri"/>
                <w:bCs/>
                <w:lang w:eastAsia="ru-RU"/>
              </w:rPr>
            </w:pPr>
            <w:r w:rsidRPr="001003E3">
              <w:rPr>
                <w:rFonts w:eastAsia="Times New Roman" w:cs="Calibri"/>
                <w:bCs/>
                <w:lang w:eastAsia="ru-RU"/>
              </w:rPr>
              <w:t>Показатель за 20</w:t>
            </w:r>
            <w:r w:rsidR="00A54777">
              <w:rPr>
                <w:rFonts w:eastAsia="Times New Roman" w:cs="Calibri"/>
                <w:bCs/>
                <w:lang w:eastAsia="ru-RU"/>
              </w:rPr>
              <w:t>20</w:t>
            </w:r>
            <w:r w:rsidRPr="001003E3">
              <w:rPr>
                <w:rFonts w:eastAsia="Times New Roman" w:cs="Calibri"/>
                <w:bCs/>
                <w:lang w:eastAsia="ru-RU"/>
              </w:rPr>
              <w:t xml:space="preserve"> год</w:t>
            </w:r>
            <w:r>
              <w:rPr>
                <w:rFonts w:eastAsia="Times New Roman" w:cs="Calibri"/>
                <w:bCs/>
                <w:lang w:eastAsia="ru-RU"/>
              </w:rPr>
              <w:t>.</w:t>
            </w:r>
            <w:r w:rsidRPr="001003E3">
              <w:rPr>
                <w:rFonts w:eastAsia="Times New Roman" w:cs="Calibri"/>
                <w:bCs/>
                <w:lang w:eastAsia="ru-RU"/>
              </w:rPr>
              <w:t xml:space="preserve"> </w:t>
            </w:r>
            <w:r>
              <w:rPr>
                <w:rFonts w:eastAsia="Times New Roman" w:cs="Calibri"/>
                <w:bCs/>
                <w:lang w:eastAsia="ru-RU"/>
              </w:rPr>
              <w:t>В</w:t>
            </w:r>
            <w:r w:rsidRPr="001003E3">
              <w:rPr>
                <w:rFonts w:eastAsia="Times New Roman" w:cs="Calibri"/>
                <w:bCs/>
                <w:lang w:eastAsia="ru-RU"/>
              </w:rPr>
              <w:t>ключа</w:t>
            </w:r>
            <w:r>
              <w:rPr>
                <w:rFonts w:eastAsia="Times New Roman" w:cs="Calibri"/>
                <w:bCs/>
                <w:lang w:eastAsia="ru-RU"/>
              </w:rPr>
              <w:t>ет</w:t>
            </w:r>
            <w:r w:rsidRPr="001003E3">
              <w:rPr>
                <w:rFonts w:eastAsia="Times New Roman" w:cs="Calibri"/>
                <w:bCs/>
                <w:lang w:eastAsia="ru-RU"/>
              </w:rPr>
              <w:t xml:space="preserve"> выручку от обязательного, инициативного аудита и сопутствующих аудиту услуг. Подтверждается формой </w:t>
            </w:r>
            <w:r>
              <w:rPr>
                <w:rFonts w:eastAsia="Times New Roman" w:cs="Calibri"/>
                <w:bCs/>
                <w:lang w:eastAsia="ru-RU"/>
              </w:rPr>
              <w:t>2</w:t>
            </w:r>
            <w:r w:rsidRPr="001003E3">
              <w:rPr>
                <w:rFonts w:eastAsia="Times New Roman" w:cs="Calibri"/>
                <w:bCs/>
                <w:lang w:eastAsia="ru-RU"/>
              </w:rPr>
              <w:t xml:space="preserve"> аудит</w:t>
            </w:r>
          </w:p>
        </w:tc>
        <w:tc>
          <w:tcPr>
            <w:tcW w:w="944" w:type="dxa"/>
            <w:tcBorders>
              <w:bottom w:val="single" w:sz="4" w:space="0" w:color="BFBFBF"/>
            </w:tcBorders>
            <w:shd w:val="clear" w:color="auto" w:fill="D5DCE4" w:themeFill="text2" w:themeFillTint="33"/>
          </w:tcPr>
          <w:p w14:paraId="46E82F5A" w14:textId="77777777" w:rsidR="008635B3" w:rsidRPr="001003E3" w:rsidRDefault="008635B3" w:rsidP="00D75831">
            <w:pPr>
              <w:spacing w:before="100" w:beforeAutospacing="1" w:after="100" w:afterAutospacing="1" w:line="240" w:lineRule="auto"/>
              <w:rPr>
                <w:rFonts w:eastAsia="Times New Roman" w:cs="Calibri"/>
                <w:bCs/>
                <w:lang w:eastAsia="ru-RU"/>
              </w:rPr>
            </w:pPr>
            <w:r>
              <w:rPr>
                <w:rFonts w:eastAsia="Times New Roman" w:cs="Calibri"/>
                <w:bCs/>
                <w:lang w:eastAsia="ru-RU"/>
              </w:rPr>
              <w:t>2</w:t>
            </w:r>
            <w:r w:rsidRPr="001003E3">
              <w:rPr>
                <w:rFonts w:eastAsia="Times New Roman" w:cs="Calibri"/>
                <w:bCs/>
                <w:lang w:eastAsia="ru-RU"/>
              </w:rPr>
              <w:t>0%</w:t>
            </w:r>
          </w:p>
        </w:tc>
      </w:tr>
      <w:tr w:rsidR="008635B3" w:rsidRPr="00EE2852" w14:paraId="33863727" w14:textId="77777777" w:rsidTr="00D75831">
        <w:tc>
          <w:tcPr>
            <w:tcW w:w="3304" w:type="dxa"/>
            <w:gridSpan w:val="2"/>
            <w:shd w:val="clear" w:color="auto" w:fill="C7C4DA"/>
          </w:tcPr>
          <w:p w14:paraId="02DE50CF" w14:textId="77777777" w:rsidR="008635B3" w:rsidRPr="00EE2852" w:rsidRDefault="008635B3" w:rsidP="00D75831">
            <w:pPr>
              <w:spacing w:before="100" w:beforeAutospacing="1" w:after="100" w:afterAutospacing="1" w:line="240" w:lineRule="auto"/>
              <w:rPr>
                <w:rFonts w:eastAsia="Times New Roman" w:cs="Calibri"/>
                <w:bCs/>
                <w:lang w:eastAsia="ru-RU"/>
              </w:rPr>
            </w:pPr>
            <w:r>
              <w:rPr>
                <w:rFonts w:eastAsia="Times New Roman" w:cs="Calibri"/>
                <w:bCs/>
                <w:lang w:eastAsia="ru-RU"/>
              </w:rPr>
              <w:t>Выручка от аудита общественно-значимых организаций</w:t>
            </w:r>
          </w:p>
        </w:tc>
        <w:tc>
          <w:tcPr>
            <w:tcW w:w="5097" w:type="dxa"/>
            <w:gridSpan w:val="2"/>
            <w:shd w:val="clear" w:color="auto" w:fill="C7C4DA"/>
          </w:tcPr>
          <w:p w14:paraId="25CED1F8" w14:textId="35685D46" w:rsidR="008635B3" w:rsidRPr="00EE2852" w:rsidRDefault="008635B3" w:rsidP="00D75831">
            <w:pPr>
              <w:spacing w:before="100" w:beforeAutospacing="1" w:after="100" w:afterAutospacing="1" w:line="240" w:lineRule="auto"/>
              <w:rPr>
                <w:rFonts w:eastAsia="Times New Roman" w:cs="Calibri"/>
                <w:lang w:eastAsia="ru-RU"/>
              </w:rPr>
            </w:pPr>
            <w:r w:rsidRPr="00EE2852">
              <w:rPr>
                <w:rFonts w:eastAsia="Times New Roman" w:cs="Calibri"/>
                <w:lang w:eastAsia="ru-RU"/>
              </w:rPr>
              <w:t xml:space="preserve">Показатель по состоянию на </w:t>
            </w:r>
            <w:r w:rsidRPr="00EE2852">
              <w:rPr>
                <w:rFonts w:eastAsia="Times New Roman" w:cs="Calibri"/>
                <w:bCs/>
                <w:lang w:eastAsia="ru-RU"/>
              </w:rPr>
              <w:t>31.12.20</w:t>
            </w:r>
            <w:r w:rsidR="00A54777">
              <w:rPr>
                <w:rFonts w:eastAsia="Times New Roman" w:cs="Calibri"/>
                <w:bCs/>
                <w:lang w:eastAsia="ru-RU"/>
              </w:rPr>
              <w:t>20</w:t>
            </w:r>
            <w:r>
              <w:rPr>
                <w:rFonts w:eastAsia="Times New Roman" w:cs="Calibri"/>
                <w:bCs/>
                <w:lang w:eastAsia="ru-RU"/>
              </w:rPr>
              <w:t>.</w:t>
            </w:r>
            <w:r w:rsidRPr="00EE2852">
              <w:rPr>
                <w:rFonts w:eastAsia="Times New Roman" w:cs="Calibri"/>
                <w:lang w:eastAsia="ru-RU"/>
              </w:rPr>
              <w:t xml:space="preserve"> </w:t>
            </w:r>
            <w:r w:rsidRPr="001003E3">
              <w:rPr>
                <w:rFonts w:eastAsia="Times New Roman" w:cs="Calibri"/>
                <w:bCs/>
                <w:lang w:eastAsia="ru-RU"/>
              </w:rPr>
              <w:t xml:space="preserve">Подтверждается формой </w:t>
            </w:r>
            <w:r>
              <w:rPr>
                <w:rFonts w:eastAsia="Times New Roman" w:cs="Calibri"/>
                <w:bCs/>
                <w:lang w:eastAsia="ru-RU"/>
              </w:rPr>
              <w:t>2</w:t>
            </w:r>
            <w:r w:rsidRPr="001003E3">
              <w:rPr>
                <w:rFonts w:eastAsia="Times New Roman" w:cs="Calibri"/>
                <w:bCs/>
                <w:lang w:eastAsia="ru-RU"/>
              </w:rPr>
              <w:t xml:space="preserve"> аудит</w:t>
            </w:r>
          </w:p>
        </w:tc>
        <w:tc>
          <w:tcPr>
            <w:tcW w:w="944" w:type="dxa"/>
            <w:shd w:val="clear" w:color="auto" w:fill="C7C4DA"/>
          </w:tcPr>
          <w:p w14:paraId="0A59D67D" w14:textId="77777777" w:rsidR="008635B3" w:rsidRPr="00EE2852" w:rsidRDefault="008635B3" w:rsidP="00D75831">
            <w:pPr>
              <w:spacing w:before="100" w:beforeAutospacing="1" w:after="100" w:afterAutospacing="1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10%</w:t>
            </w:r>
          </w:p>
        </w:tc>
      </w:tr>
      <w:tr w:rsidR="008635B3" w:rsidRPr="00EE2852" w14:paraId="0EE18A94" w14:textId="77777777" w:rsidTr="00D75831">
        <w:tc>
          <w:tcPr>
            <w:tcW w:w="3304" w:type="dxa"/>
            <w:gridSpan w:val="2"/>
            <w:tcBorders>
              <w:bottom w:val="single" w:sz="4" w:space="0" w:color="BFBFBF"/>
            </w:tcBorders>
            <w:shd w:val="clear" w:color="auto" w:fill="D5DCE4"/>
            <w:hideMark/>
          </w:tcPr>
          <w:p w14:paraId="3EFEA06B" w14:textId="77777777" w:rsidR="008635B3" w:rsidRPr="00EE2852" w:rsidRDefault="008635B3" w:rsidP="00D75831">
            <w:pPr>
              <w:spacing w:before="100" w:beforeAutospacing="1" w:after="100" w:afterAutospacing="1" w:line="240" w:lineRule="auto"/>
              <w:rPr>
                <w:rFonts w:eastAsia="Times New Roman" w:cs="Calibri"/>
                <w:bCs/>
                <w:lang w:eastAsia="ru-RU"/>
              </w:rPr>
            </w:pPr>
            <w:r w:rsidRPr="00EE2852">
              <w:rPr>
                <w:rFonts w:eastAsia="Times New Roman" w:cs="Calibri"/>
                <w:bCs/>
                <w:lang w:eastAsia="ru-RU"/>
              </w:rPr>
              <w:t xml:space="preserve">Численность </w:t>
            </w:r>
            <w:r>
              <w:rPr>
                <w:rFonts w:eastAsia="Times New Roman" w:cs="Calibri"/>
                <w:bCs/>
                <w:lang w:eastAsia="ru-RU"/>
              </w:rPr>
              <w:t>аудиторов</w:t>
            </w:r>
            <w:r w:rsidRPr="00EE2852">
              <w:rPr>
                <w:rFonts w:eastAsia="Times New Roman" w:cs="Calibri"/>
                <w:bCs/>
                <w:lang w:eastAsia="ru-RU"/>
              </w:rPr>
              <w:t>, работающих по основному месту работы</w:t>
            </w:r>
          </w:p>
        </w:tc>
        <w:tc>
          <w:tcPr>
            <w:tcW w:w="5097" w:type="dxa"/>
            <w:gridSpan w:val="2"/>
            <w:tcBorders>
              <w:bottom w:val="single" w:sz="4" w:space="0" w:color="BFBFBF"/>
            </w:tcBorders>
            <w:shd w:val="clear" w:color="auto" w:fill="D5DCE4"/>
            <w:hideMark/>
          </w:tcPr>
          <w:p w14:paraId="495D0D20" w14:textId="5D047AF4" w:rsidR="008635B3" w:rsidRPr="00EE2852" w:rsidRDefault="008635B3" w:rsidP="00D75831">
            <w:pPr>
              <w:spacing w:before="100" w:beforeAutospacing="1" w:after="100" w:afterAutospacing="1" w:line="240" w:lineRule="auto"/>
              <w:rPr>
                <w:rFonts w:eastAsia="Times New Roman" w:cs="Calibri"/>
                <w:lang w:eastAsia="ru-RU"/>
              </w:rPr>
            </w:pPr>
            <w:r w:rsidRPr="00EE2852">
              <w:rPr>
                <w:rFonts w:eastAsia="Times New Roman" w:cs="Calibri"/>
                <w:lang w:eastAsia="ru-RU"/>
              </w:rPr>
              <w:t xml:space="preserve">Показатель по состоянию на </w:t>
            </w:r>
            <w:r w:rsidRPr="00EE2852">
              <w:rPr>
                <w:rFonts w:eastAsia="Times New Roman" w:cs="Calibri"/>
                <w:bCs/>
                <w:lang w:eastAsia="ru-RU"/>
              </w:rPr>
              <w:t>31.12.20</w:t>
            </w:r>
            <w:r w:rsidR="00A54777">
              <w:rPr>
                <w:rFonts w:eastAsia="Times New Roman" w:cs="Calibri"/>
                <w:bCs/>
                <w:lang w:eastAsia="ru-RU"/>
              </w:rPr>
              <w:t>20</w:t>
            </w:r>
            <w:r>
              <w:rPr>
                <w:rFonts w:eastAsia="Times New Roman" w:cs="Calibri"/>
                <w:bCs/>
                <w:lang w:eastAsia="ru-RU"/>
              </w:rPr>
              <w:t>.</w:t>
            </w:r>
            <w:r w:rsidRPr="00EE2852">
              <w:rPr>
                <w:rFonts w:eastAsia="Times New Roman" w:cs="Calibri"/>
                <w:lang w:eastAsia="ru-RU"/>
              </w:rPr>
              <w:t xml:space="preserve"> </w:t>
            </w:r>
            <w:r w:rsidRPr="001003E3">
              <w:rPr>
                <w:rFonts w:eastAsia="Times New Roman" w:cs="Calibri"/>
                <w:bCs/>
                <w:lang w:eastAsia="ru-RU"/>
              </w:rPr>
              <w:t xml:space="preserve">Подтверждается формой </w:t>
            </w:r>
            <w:r>
              <w:rPr>
                <w:rFonts w:eastAsia="Times New Roman" w:cs="Calibri"/>
                <w:bCs/>
                <w:lang w:eastAsia="ru-RU"/>
              </w:rPr>
              <w:t>2</w:t>
            </w:r>
            <w:r w:rsidRPr="001003E3">
              <w:rPr>
                <w:rFonts w:eastAsia="Times New Roman" w:cs="Calibri"/>
                <w:bCs/>
                <w:lang w:eastAsia="ru-RU"/>
              </w:rPr>
              <w:t xml:space="preserve"> аудит</w:t>
            </w:r>
          </w:p>
        </w:tc>
        <w:tc>
          <w:tcPr>
            <w:tcW w:w="944" w:type="dxa"/>
            <w:tcBorders>
              <w:bottom w:val="single" w:sz="4" w:space="0" w:color="BFBFBF"/>
            </w:tcBorders>
            <w:shd w:val="clear" w:color="auto" w:fill="D5DCE4"/>
          </w:tcPr>
          <w:p w14:paraId="11CD5FD1" w14:textId="77777777" w:rsidR="008635B3" w:rsidRPr="00EE2852" w:rsidRDefault="008635B3" w:rsidP="00D75831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eastAsia="ru-RU"/>
              </w:rPr>
            </w:pPr>
            <w:r w:rsidRPr="00EE2852">
              <w:rPr>
                <w:rFonts w:eastAsia="Times New Roman" w:cs="Calibri"/>
                <w:lang w:eastAsia="ru-RU"/>
              </w:rPr>
              <w:t>10%</w:t>
            </w:r>
          </w:p>
        </w:tc>
      </w:tr>
      <w:tr w:rsidR="008635B3" w:rsidRPr="00EE2852" w14:paraId="2CF4413B" w14:textId="77777777" w:rsidTr="00D75831">
        <w:tc>
          <w:tcPr>
            <w:tcW w:w="3304" w:type="dxa"/>
            <w:gridSpan w:val="2"/>
            <w:tcBorders>
              <w:bottom w:val="single" w:sz="4" w:space="0" w:color="BFBFBF"/>
            </w:tcBorders>
            <w:shd w:val="clear" w:color="auto" w:fill="C7C4DA"/>
          </w:tcPr>
          <w:p w14:paraId="7D8E0556" w14:textId="77777777" w:rsidR="008635B3" w:rsidRPr="00EE2852" w:rsidRDefault="008635B3" w:rsidP="00D75831">
            <w:pPr>
              <w:spacing w:before="100" w:beforeAutospacing="1" w:after="100" w:afterAutospacing="1" w:line="240" w:lineRule="auto"/>
              <w:rPr>
                <w:rFonts w:eastAsia="Times New Roman" w:cs="Calibri"/>
                <w:bCs/>
                <w:lang w:eastAsia="ru-RU"/>
              </w:rPr>
            </w:pPr>
            <w:r w:rsidRPr="00E912A8">
              <w:rPr>
                <w:rFonts w:eastAsia="Times New Roman" w:cs="Calibri"/>
                <w:bCs/>
                <w:lang w:eastAsia="ru-RU"/>
              </w:rPr>
              <w:t>Численность специалистов, обеспечивающих прочие услуги, связанные с аудиторской деятельностью / консалтинг (в т. ч. работающих по совместительству)</w:t>
            </w:r>
          </w:p>
        </w:tc>
        <w:tc>
          <w:tcPr>
            <w:tcW w:w="5097" w:type="dxa"/>
            <w:gridSpan w:val="2"/>
            <w:tcBorders>
              <w:bottom w:val="single" w:sz="4" w:space="0" w:color="BFBFBF"/>
            </w:tcBorders>
            <w:shd w:val="clear" w:color="auto" w:fill="C7C4DA"/>
          </w:tcPr>
          <w:p w14:paraId="4C6FAF93" w14:textId="6E3F3791" w:rsidR="008635B3" w:rsidRPr="00EE2852" w:rsidRDefault="008635B3" w:rsidP="00D75831">
            <w:pPr>
              <w:spacing w:before="100" w:beforeAutospacing="1" w:after="100" w:afterAutospacing="1" w:line="240" w:lineRule="auto"/>
              <w:rPr>
                <w:rFonts w:eastAsia="Times New Roman" w:cs="Calibri"/>
                <w:lang w:eastAsia="ru-RU"/>
              </w:rPr>
            </w:pPr>
            <w:r w:rsidRPr="00EE2852">
              <w:rPr>
                <w:rFonts w:eastAsia="Times New Roman" w:cs="Calibri"/>
                <w:lang w:eastAsia="ru-RU"/>
              </w:rPr>
              <w:t xml:space="preserve">Показатель по состоянию на </w:t>
            </w:r>
            <w:r w:rsidRPr="00EE2852">
              <w:rPr>
                <w:rFonts w:eastAsia="Times New Roman" w:cs="Calibri"/>
                <w:bCs/>
                <w:lang w:eastAsia="ru-RU"/>
              </w:rPr>
              <w:t>31.12.20</w:t>
            </w:r>
            <w:r w:rsidR="00A54777">
              <w:rPr>
                <w:rFonts w:eastAsia="Times New Roman" w:cs="Calibri"/>
                <w:bCs/>
                <w:lang w:eastAsia="ru-RU"/>
              </w:rPr>
              <w:t>20</w:t>
            </w:r>
            <w:r>
              <w:rPr>
                <w:rFonts w:eastAsia="Times New Roman" w:cs="Calibri"/>
                <w:bCs/>
                <w:lang w:eastAsia="ru-RU"/>
              </w:rPr>
              <w:t>.</w:t>
            </w:r>
            <w:r w:rsidRPr="00EE2852">
              <w:rPr>
                <w:rFonts w:eastAsia="Times New Roman" w:cs="Calibri"/>
                <w:lang w:eastAsia="ru-RU"/>
              </w:rPr>
              <w:t xml:space="preserve"> </w:t>
            </w:r>
          </w:p>
        </w:tc>
        <w:tc>
          <w:tcPr>
            <w:tcW w:w="944" w:type="dxa"/>
            <w:tcBorders>
              <w:bottom w:val="single" w:sz="4" w:space="0" w:color="BFBFBF"/>
            </w:tcBorders>
            <w:shd w:val="clear" w:color="auto" w:fill="C7C4DA"/>
          </w:tcPr>
          <w:p w14:paraId="73AF73A4" w14:textId="77777777" w:rsidR="008635B3" w:rsidRPr="00EE2852" w:rsidRDefault="008635B3" w:rsidP="00D75831">
            <w:pPr>
              <w:spacing w:before="100" w:beforeAutospacing="1" w:after="100" w:afterAutospacing="1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10%</w:t>
            </w:r>
          </w:p>
        </w:tc>
      </w:tr>
      <w:tr w:rsidR="008635B3" w:rsidRPr="00A94CE2" w14:paraId="53B2A38E" w14:textId="77777777" w:rsidTr="00D75831">
        <w:tc>
          <w:tcPr>
            <w:tcW w:w="3288" w:type="dxa"/>
            <w:tcBorders>
              <w:bottom w:val="single" w:sz="4" w:space="0" w:color="BFBFBF"/>
            </w:tcBorders>
            <w:shd w:val="clear" w:color="auto" w:fill="D5DCE4" w:themeFill="text2" w:themeFillTint="33"/>
            <w:hideMark/>
          </w:tcPr>
          <w:p w14:paraId="31774894" w14:textId="77777777" w:rsidR="008635B3" w:rsidRPr="00A94CE2" w:rsidRDefault="008635B3" w:rsidP="00D75831">
            <w:pPr>
              <w:spacing w:before="100" w:beforeAutospacing="1" w:after="100" w:afterAutospacing="1" w:line="240" w:lineRule="auto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аудированных</w:t>
            </w:r>
            <w:proofErr w:type="spellEnd"/>
            <w:r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за год общественно-значимых организаций</w:t>
            </w:r>
          </w:p>
        </w:tc>
        <w:tc>
          <w:tcPr>
            <w:tcW w:w="5079" w:type="dxa"/>
            <w:gridSpan w:val="2"/>
            <w:tcBorders>
              <w:bottom w:val="single" w:sz="4" w:space="0" w:color="BFBFBF"/>
            </w:tcBorders>
            <w:shd w:val="clear" w:color="auto" w:fill="D5DCE4" w:themeFill="text2" w:themeFillTint="33"/>
            <w:hideMark/>
          </w:tcPr>
          <w:p w14:paraId="48282EEE" w14:textId="20380FF0" w:rsidR="008635B3" w:rsidRPr="00A94CE2" w:rsidRDefault="008635B3" w:rsidP="00D75831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E2852">
              <w:rPr>
                <w:rFonts w:eastAsia="Times New Roman" w:cs="Calibri"/>
                <w:lang w:eastAsia="ru-RU"/>
              </w:rPr>
              <w:t xml:space="preserve">Показатель по состоянию на </w:t>
            </w:r>
            <w:r w:rsidRPr="00EE2852">
              <w:rPr>
                <w:rFonts w:eastAsia="Times New Roman" w:cs="Calibri"/>
                <w:bCs/>
                <w:lang w:eastAsia="ru-RU"/>
              </w:rPr>
              <w:t>31.12.20</w:t>
            </w:r>
            <w:r w:rsidR="00A54777">
              <w:rPr>
                <w:rFonts w:eastAsia="Times New Roman" w:cs="Calibri"/>
                <w:bCs/>
                <w:lang w:eastAsia="ru-RU"/>
              </w:rPr>
              <w:t>20</w:t>
            </w:r>
            <w:r>
              <w:rPr>
                <w:rFonts w:eastAsia="Times New Roman" w:cs="Calibri"/>
                <w:bCs/>
                <w:lang w:eastAsia="ru-RU"/>
              </w:rPr>
              <w:t>.</w:t>
            </w:r>
            <w:r w:rsidRPr="00EE2852">
              <w:rPr>
                <w:rFonts w:eastAsia="Times New Roman" w:cs="Calibri"/>
                <w:lang w:eastAsia="ru-RU"/>
              </w:rPr>
              <w:t xml:space="preserve"> </w:t>
            </w:r>
            <w:r w:rsidRPr="001003E3">
              <w:rPr>
                <w:rFonts w:eastAsia="Times New Roman" w:cs="Calibri"/>
                <w:bCs/>
                <w:lang w:eastAsia="ru-RU"/>
              </w:rPr>
              <w:t xml:space="preserve">Подтверждается формой </w:t>
            </w:r>
            <w:r>
              <w:rPr>
                <w:rFonts w:eastAsia="Times New Roman" w:cs="Calibri"/>
                <w:bCs/>
                <w:lang w:eastAsia="ru-RU"/>
              </w:rPr>
              <w:t>2</w:t>
            </w:r>
            <w:r w:rsidRPr="001003E3">
              <w:rPr>
                <w:rFonts w:eastAsia="Times New Roman" w:cs="Calibri"/>
                <w:bCs/>
                <w:lang w:eastAsia="ru-RU"/>
              </w:rPr>
              <w:t xml:space="preserve"> аудит</w:t>
            </w:r>
          </w:p>
        </w:tc>
        <w:tc>
          <w:tcPr>
            <w:tcW w:w="978" w:type="dxa"/>
            <w:gridSpan w:val="2"/>
            <w:tcBorders>
              <w:bottom w:val="single" w:sz="4" w:space="0" w:color="BFBFBF"/>
            </w:tcBorders>
            <w:shd w:val="clear" w:color="auto" w:fill="D5DCE4" w:themeFill="text2" w:themeFillTint="33"/>
          </w:tcPr>
          <w:p w14:paraId="489D4025" w14:textId="77777777" w:rsidR="008635B3" w:rsidRPr="00A94CE2" w:rsidRDefault="008635B3" w:rsidP="00D75831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10%</w:t>
            </w:r>
          </w:p>
        </w:tc>
      </w:tr>
      <w:tr w:rsidR="008635B3" w:rsidRPr="00A94CE2" w14:paraId="4A39DCFE" w14:textId="77777777" w:rsidTr="00D75831">
        <w:tc>
          <w:tcPr>
            <w:tcW w:w="3288" w:type="dxa"/>
            <w:tcBorders>
              <w:bottom w:val="single" w:sz="4" w:space="0" w:color="BFBFBF"/>
            </w:tcBorders>
            <w:shd w:val="clear" w:color="auto" w:fill="C7C4DA"/>
            <w:hideMark/>
          </w:tcPr>
          <w:p w14:paraId="07396FCE" w14:textId="77777777" w:rsidR="008635B3" w:rsidRPr="00A94CE2" w:rsidRDefault="008635B3" w:rsidP="00D75831">
            <w:pPr>
              <w:spacing w:before="100" w:beforeAutospacing="1" w:after="100" w:afterAutospacing="1" w:line="240" w:lineRule="auto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аудированных</w:t>
            </w:r>
            <w:proofErr w:type="spellEnd"/>
            <w:r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за год крупных организаций с выручкой более 4 млрд руб.</w:t>
            </w:r>
          </w:p>
        </w:tc>
        <w:tc>
          <w:tcPr>
            <w:tcW w:w="5079" w:type="dxa"/>
            <w:gridSpan w:val="2"/>
            <w:tcBorders>
              <w:bottom w:val="single" w:sz="4" w:space="0" w:color="BFBFBF"/>
            </w:tcBorders>
            <w:shd w:val="clear" w:color="auto" w:fill="C7C4DA"/>
            <w:hideMark/>
          </w:tcPr>
          <w:p w14:paraId="4182F6EC" w14:textId="35E4CE2C" w:rsidR="008635B3" w:rsidRPr="00A94CE2" w:rsidRDefault="008635B3" w:rsidP="00D75831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E2852">
              <w:rPr>
                <w:rFonts w:eastAsia="Times New Roman" w:cs="Calibri"/>
                <w:lang w:eastAsia="ru-RU"/>
              </w:rPr>
              <w:t xml:space="preserve">Показатель по состоянию на </w:t>
            </w:r>
            <w:r w:rsidRPr="00EE2852">
              <w:rPr>
                <w:rFonts w:eastAsia="Times New Roman" w:cs="Calibri"/>
                <w:bCs/>
                <w:lang w:eastAsia="ru-RU"/>
              </w:rPr>
              <w:t>31.12.20</w:t>
            </w:r>
            <w:r w:rsidR="00A54777">
              <w:rPr>
                <w:rFonts w:eastAsia="Times New Roman" w:cs="Calibri"/>
                <w:bCs/>
                <w:lang w:eastAsia="ru-RU"/>
              </w:rPr>
              <w:t>20</w:t>
            </w:r>
            <w:r>
              <w:rPr>
                <w:rFonts w:eastAsia="Times New Roman" w:cs="Calibri"/>
                <w:bCs/>
                <w:lang w:eastAsia="ru-RU"/>
              </w:rPr>
              <w:t>.</w:t>
            </w:r>
            <w:r w:rsidRPr="00EE2852">
              <w:rPr>
                <w:rFonts w:eastAsia="Times New Roman" w:cs="Calibri"/>
                <w:lang w:eastAsia="ru-RU"/>
              </w:rPr>
              <w:t xml:space="preserve"> </w:t>
            </w:r>
            <w:r w:rsidRPr="001003E3">
              <w:rPr>
                <w:rFonts w:eastAsia="Times New Roman" w:cs="Calibri"/>
                <w:bCs/>
                <w:lang w:eastAsia="ru-RU"/>
              </w:rPr>
              <w:t xml:space="preserve">Подтверждается формой </w:t>
            </w:r>
            <w:r>
              <w:rPr>
                <w:rFonts w:eastAsia="Times New Roman" w:cs="Calibri"/>
                <w:bCs/>
                <w:lang w:eastAsia="ru-RU"/>
              </w:rPr>
              <w:t>2</w:t>
            </w:r>
            <w:r w:rsidRPr="001003E3">
              <w:rPr>
                <w:rFonts w:eastAsia="Times New Roman" w:cs="Calibri"/>
                <w:bCs/>
                <w:lang w:eastAsia="ru-RU"/>
              </w:rPr>
              <w:t xml:space="preserve"> аудит</w:t>
            </w:r>
          </w:p>
        </w:tc>
        <w:tc>
          <w:tcPr>
            <w:tcW w:w="978" w:type="dxa"/>
            <w:gridSpan w:val="2"/>
            <w:tcBorders>
              <w:bottom w:val="single" w:sz="4" w:space="0" w:color="BFBFBF"/>
            </w:tcBorders>
            <w:shd w:val="clear" w:color="auto" w:fill="C7C4DA"/>
          </w:tcPr>
          <w:p w14:paraId="58478157" w14:textId="77777777" w:rsidR="008635B3" w:rsidRPr="00A94CE2" w:rsidRDefault="008635B3" w:rsidP="00D75831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10%</w:t>
            </w:r>
          </w:p>
        </w:tc>
      </w:tr>
    </w:tbl>
    <w:p w14:paraId="2A7BF02C" w14:textId="77777777" w:rsidR="008635B3" w:rsidRPr="000C41F6" w:rsidRDefault="008635B3" w:rsidP="008635B3">
      <w:pPr>
        <w:spacing w:before="100" w:beforeAutospacing="1" w:after="100" w:afterAutospacing="1" w:line="240" w:lineRule="auto"/>
        <w:jc w:val="both"/>
        <w:rPr>
          <w:rFonts w:eastAsia="Times New Roman" w:cs="Calibri"/>
          <w:b/>
          <w:bCs/>
          <w:color w:val="C00000"/>
          <w:sz w:val="24"/>
          <w:szCs w:val="24"/>
          <w:lang w:eastAsia="ru-RU"/>
        </w:rPr>
      </w:pPr>
      <w:r w:rsidRPr="00A94CE2">
        <w:rPr>
          <w:rFonts w:eastAsia="Times New Roman" w:cs="Calibri"/>
          <w:b/>
          <w:bCs/>
          <w:color w:val="C00000"/>
          <w:sz w:val="24"/>
          <w:szCs w:val="24"/>
          <w:lang w:eastAsia="ru-RU"/>
        </w:rPr>
        <w:t>Отсутствие подтверждений не позволяет организатору учитывать показатели в рэнкинге.</w:t>
      </w:r>
    </w:p>
    <w:p w14:paraId="03DB1B2C" w14:textId="7BEB3A36" w:rsidR="00B032B6" w:rsidRPr="008635B3" w:rsidRDefault="008635B3" w:rsidP="008635B3">
      <w:r>
        <w:t xml:space="preserve">По вопросам участия обращайтесь, пожалуйста, по телефону: </w:t>
      </w:r>
      <w:r w:rsidR="00B62DA1" w:rsidRPr="00B62DA1">
        <w:t>+7 (495) 225-34-44 (доб. 3477)</w:t>
      </w:r>
      <w:r w:rsidR="00B62DA1">
        <w:t xml:space="preserve"> </w:t>
      </w:r>
      <w:r>
        <w:t xml:space="preserve">или по электронной почте audit-consulting@expert-business.ru. </w:t>
      </w:r>
    </w:p>
    <w:sectPr w:rsidR="00B032B6" w:rsidRPr="008635B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3649" w14:textId="77777777" w:rsidR="001313C2" w:rsidRDefault="001313C2" w:rsidP="00F70377">
      <w:pPr>
        <w:spacing w:after="0" w:line="240" w:lineRule="auto"/>
      </w:pPr>
      <w:r>
        <w:separator/>
      </w:r>
    </w:p>
  </w:endnote>
  <w:endnote w:type="continuationSeparator" w:id="0">
    <w:p w14:paraId="5B253EF5" w14:textId="77777777" w:rsidR="001313C2" w:rsidRDefault="001313C2" w:rsidP="00F7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1BA5" w14:textId="77777777" w:rsidR="004B0405" w:rsidRDefault="004B0405" w:rsidP="004B0405">
    <w:pPr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06F992" wp14:editId="06A13FB1">
              <wp:simplePos x="0" y="0"/>
              <wp:positionH relativeFrom="page">
                <wp:posOffset>9525</wp:posOffset>
              </wp:positionH>
              <wp:positionV relativeFrom="page">
                <wp:posOffset>10215245</wp:posOffset>
              </wp:positionV>
              <wp:extent cx="7545705" cy="190500"/>
              <wp:effectExtent l="9525" t="8890" r="5080" b="635"/>
              <wp:wrapNone/>
              <wp:docPr id="4" name="Группа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5705" cy="190500"/>
                        <a:chOff x="0" y="14970"/>
                        <a:chExt cx="12255" cy="300"/>
                      </a:xfrm>
                    </wpg:grpSpPr>
                    <wps:wsp>
                      <wps:cNvPr id="5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16F3F" w14:textId="77777777" w:rsidR="004B0405" w:rsidRDefault="004B0405" w:rsidP="004B0405">
                            <w:pPr>
                              <w:jc w:val="center"/>
                            </w:pPr>
                            <w:r w:rsidRPr="00136202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136202">
                              <w:fldChar w:fldCharType="separate"/>
                            </w:r>
                            <w:r w:rsidRPr="000D5EB5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136202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7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6F992" id="Группа 4" o:spid="_x0000_s1026" style="position:absolute;left:0;text-align:left;margin-left:.75pt;margin-top:804.35pt;width:594.15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5F616F3F" w14:textId="77777777" w:rsidR="004B0405" w:rsidRDefault="004B0405" w:rsidP="004B0405">
                      <w:pPr>
                        <w:jc w:val="center"/>
                      </w:pPr>
                      <w:r w:rsidRPr="00136202">
                        <w:fldChar w:fldCharType="begin"/>
                      </w:r>
                      <w:r>
                        <w:instrText>PAGE    \* MERGEFORMAT</w:instrText>
                      </w:r>
                      <w:r w:rsidRPr="00136202">
                        <w:fldChar w:fldCharType="separate"/>
                      </w:r>
                      <w:r w:rsidRPr="000D5EB5">
                        <w:rPr>
                          <w:noProof/>
                          <w:color w:val="8C8C8C"/>
                        </w:rPr>
                        <w:t>2</w:t>
                      </w:r>
                      <w:r w:rsidRPr="00136202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04CF3" w14:textId="77777777" w:rsidR="001313C2" w:rsidRDefault="001313C2" w:rsidP="00F70377">
      <w:pPr>
        <w:spacing w:after="0" w:line="240" w:lineRule="auto"/>
      </w:pPr>
      <w:r>
        <w:separator/>
      </w:r>
    </w:p>
  </w:footnote>
  <w:footnote w:type="continuationSeparator" w:id="0">
    <w:p w14:paraId="47503E8A" w14:textId="77777777" w:rsidR="001313C2" w:rsidRDefault="001313C2" w:rsidP="00F70377">
      <w:pPr>
        <w:spacing w:after="0" w:line="240" w:lineRule="auto"/>
      </w:pPr>
      <w:r>
        <w:continuationSeparator/>
      </w:r>
    </w:p>
  </w:footnote>
  <w:footnote w:id="1">
    <w:p w14:paraId="598E8FCA" w14:textId="77777777" w:rsidR="008635B3" w:rsidRDefault="008635B3" w:rsidP="008635B3">
      <w:pPr>
        <w:pStyle w:val="a4"/>
      </w:pPr>
      <w:r>
        <w:rPr>
          <w:rStyle w:val="a6"/>
        </w:rPr>
        <w:footnoteRef/>
      </w:r>
      <w:r>
        <w:t xml:space="preserve"> Без учета выручки от прочих услуг, связанных с аудиторской деятельностью (консалтинг).</w:t>
      </w:r>
    </w:p>
    <w:p w14:paraId="4D2F0F86" w14:textId="77777777" w:rsidR="008635B3" w:rsidRDefault="008635B3" w:rsidP="008635B3">
      <w:pPr>
        <w:pStyle w:val="a4"/>
      </w:pPr>
    </w:p>
  </w:footnote>
  <w:footnote w:id="2">
    <w:p w14:paraId="21736B09" w14:textId="77777777" w:rsidR="008635B3" w:rsidRDefault="008635B3" w:rsidP="008635B3">
      <w:pPr>
        <w:pStyle w:val="a4"/>
      </w:pPr>
      <w:r>
        <w:rPr>
          <w:rStyle w:val="a6"/>
        </w:rPr>
        <w:footnoteRef/>
      </w:r>
      <w:r>
        <w:t xml:space="preserve"> Согласно пункта 2 статьи 1 Федеральному закону об аудиторской деятельности №307 ФЗ «Аудиторская деятельность (аудиторские услуги) – деятельность по проведению аудита и оказанию сопутствующих аудиту услуг, осуществляемая аудиторскими организациями, индивидуальными аудиторами».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C658" w14:textId="77777777" w:rsidR="00AD50F4" w:rsidRDefault="00AD50F4" w:rsidP="00AD50F4">
    <w:pPr>
      <w:pStyle w:val="a7"/>
      <w:jc w:val="center"/>
    </w:pPr>
    <w:r w:rsidRPr="00AD1B17">
      <w:rPr>
        <w:noProof/>
      </w:rPr>
      <w:drawing>
        <wp:inline distT="0" distB="0" distL="0" distR="0" wp14:anchorId="00F22B83" wp14:editId="657BF8DC">
          <wp:extent cx="1749425" cy="469265"/>
          <wp:effectExtent l="0" t="0" r="3175" b="6985"/>
          <wp:docPr id="3" name="Рисунок 3" descr="cid:image001.jpg@01D53106.6ABDDC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id:image001.jpg@01D53106.6ABDDC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6B42"/>
    <w:multiLevelType w:val="hybridMultilevel"/>
    <w:tmpl w:val="144C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02FC"/>
    <w:multiLevelType w:val="hybridMultilevel"/>
    <w:tmpl w:val="4EF68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19E4"/>
    <w:multiLevelType w:val="hybridMultilevel"/>
    <w:tmpl w:val="EFD6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F66BE"/>
    <w:multiLevelType w:val="hybridMultilevel"/>
    <w:tmpl w:val="B15CC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316F1"/>
    <w:multiLevelType w:val="hybridMultilevel"/>
    <w:tmpl w:val="C306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47AE"/>
    <w:multiLevelType w:val="hybridMultilevel"/>
    <w:tmpl w:val="6892070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F58B0"/>
    <w:multiLevelType w:val="hybridMultilevel"/>
    <w:tmpl w:val="39BA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53502"/>
    <w:multiLevelType w:val="hybridMultilevel"/>
    <w:tmpl w:val="9754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B6"/>
    <w:rsid w:val="000C41F6"/>
    <w:rsid w:val="000F3642"/>
    <w:rsid w:val="001003E3"/>
    <w:rsid w:val="001313C2"/>
    <w:rsid w:val="001B674D"/>
    <w:rsid w:val="001C5797"/>
    <w:rsid w:val="001D74D5"/>
    <w:rsid w:val="002421A5"/>
    <w:rsid w:val="002513AC"/>
    <w:rsid w:val="00264AA2"/>
    <w:rsid w:val="0027372F"/>
    <w:rsid w:val="002C3DDB"/>
    <w:rsid w:val="00304334"/>
    <w:rsid w:val="003A6E09"/>
    <w:rsid w:val="003C6BC6"/>
    <w:rsid w:val="004217E3"/>
    <w:rsid w:val="0044645F"/>
    <w:rsid w:val="004A78A2"/>
    <w:rsid w:val="004B0405"/>
    <w:rsid w:val="00686529"/>
    <w:rsid w:val="006D5E9E"/>
    <w:rsid w:val="007116E3"/>
    <w:rsid w:val="0074485F"/>
    <w:rsid w:val="007560E3"/>
    <w:rsid w:val="00766DA9"/>
    <w:rsid w:val="007C0696"/>
    <w:rsid w:val="00814529"/>
    <w:rsid w:val="008635B3"/>
    <w:rsid w:val="0086638E"/>
    <w:rsid w:val="00894054"/>
    <w:rsid w:val="008B60B7"/>
    <w:rsid w:val="008C13CC"/>
    <w:rsid w:val="009D0C57"/>
    <w:rsid w:val="00A05E95"/>
    <w:rsid w:val="00A54777"/>
    <w:rsid w:val="00A941D3"/>
    <w:rsid w:val="00AD2BE9"/>
    <w:rsid w:val="00AD50F4"/>
    <w:rsid w:val="00AE0A99"/>
    <w:rsid w:val="00B032B6"/>
    <w:rsid w:val="00B058EE"/>
    <w:rsid w:val="00B60C84"/>
    <w:rsid w:val="00B62DA1"/>
    <w:rsid w:val="00B93A84"/>
    <w:rsid w:val="00BE7748"/>
    <w:rsid w:val="00BF02B2"/>
    <w:rsid w:val="00C063CA"/>
    <w:rsid w:val="00C34B50"/>
    <w:rsid w:val="00C80EA9"/>
    <w:rsid w:val="00C9283C"/>
    <w:rsid w:val="00CE5011"/>
    <w:rsid w:val="00E764BA"/>
    <w:rsid w:val="00E912A8"/>
    <w:rsid w:val="00EE2852"/>
    <w:rsid w:val="00EE2975"/>
    <w:rsid w:val="00F23CF9"/>
    <w:rsid w:val="00F64B11"/>
    <w:rsid w:val="00F70377"/>
    <w:rsid w:val="00F7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9A2046"/>
  <w15:chartTrackingRefBased/>
  <w15:docId w15:val="{339E18E9-1BE8-4AC0-B295-C11F8463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EA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7037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037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037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D5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50F4"/>
  </w:style>
  <w:style w:type="paragraph" w:styleId="a9">
    <w:name w:val="footer"/>
    <w:basedOn w:val="a"/>
    <w:link w:val="aa"/>
    <w:uiPriority w:val="99"/>
    <w:unhideWhenUsed/>
    <w:rsid w:val="00AD5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50F4"/>
  </w:style>
  <w:style w:type="character" w:styleId="ab">
    <w:name w:val="Hyperlink"/>
    <w:uiPriority w:val="99"/>
    <w:unhideWhenUsed/>
    <w:rsid w:val="00B93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32B38-A417-4D59-813F-2A45F975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Плешков</dc:creator>
  <cp:keywords/>
  <dc:description/>
  <cp:lastModifiedBy>Клаз Арсений</cp:lastModifiedBy>
  <cp:revision>20</cp:revision>
  <dcterms:created xsi:type="dcterms:W3CDTF">2020-03-04T07:22:00Z</dcterms:created>
  <dcterms:modified xsi:type="dcterms:W3CDTF">2021-06-07T12:21:00Z</dcterms:modified>
</cp:coreProperties>
</file>